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9812A">
      <w:pPr>
        <w:spacing w:after="60"/>
        <w:jc w:val="center"/>
        <w:rPr>
          <w:rFonts w:hint="default" w:ascii="Times New Roman" w:hAnsi="Times New Roman" w:cs="Times New Roman"/>
        </w:rPr>
      </w:pPr>
      <w:r>
        <w:rPr>
          <w:rFonts w:hint="default" w:ascii="Times New Roman" w:hAnsi="Times New Roman" w:eastAsia="微软雅黑" w:cs="Times New Roman"/>
          <w:b/>
          <w:color w:val="1A1A1A"/>
          <w:sz w:val="28"/>
        </w:rPr>
        <w:t>Interim Measures for Public Safety Management</w:t>
      </w:r>
    </w:p>
    <w:p w14:paraId="440AE28B">
      <w:pPr>
        <w:spacing w:after="200"/>
        <w:jc w:val="center"/>
        <w:rPr>
          <w:rFonts w:hint="default" w:ascii="Times New Roman" w:hAnsi="Times New Roman" w:eastAsia="微软雅黑" w:cs="Times New Roman"/>
          <w:b/>
          <w:color w:val="1A1A1A"/>
          <w:sz w:val="28"/>
        </w:rPr>
      </w:pPr>
      <w:r>
        <w:rPr>
          <w:rFonts w:hint="default" w:ascii="Times New Roman" w:hAnsi="Times New Roman" w:eastAsia="微软雅黑" w:cs="Times New Roman"/>
          <w:b/>
          <w:color w:val="1A1A1A"/>
          <w:sz w:val="28"/>
        </w:rPr>
        <w:t>of Civil Unmanned Aircraft in Wuhu</w:t>
      </w:r>
    </w:p>
    <w:p w14:paraId="759F4B9F">
      <w:pPr>
        <w:spacing w:after="40"/>
        <w:jc w:val="center"/>
        <w:rPr>
          <w:rFonts w:hint="default" w:ascii="Times New Roman" w:hAnsi="Times New Roman" w:cs="Times New Roman"/>
          <w:color w:val="auto"/>
          <w:sz w:val="21"/>
          <w:szCs w:val="21"/>
        </w:rPr>
      </w:pPr>
      <w:r>
        <w:rPr>
          <w:rFonts w:hint="default" w:ascii="Times New Roman" w:hAnsi="Times New Roman" w:eastAsia="微软雅黑" w:cs="Times New Roman"/>
          <w:color w:val="auto"/>
          <w:sz w:val="21"/>
          <w:szCs w:val="21"/>
        </w:rPr>
        <w:t xml:space="preserve">Date of Issue: </w:t>
      </w:r>
      <w:r>
        <w:rPr>
          <w:rFonts w:hint="default" w:ascii="Times New Roman" w:hAnsi="Times New Roman" w:eastAsia="微软雅黑" w:cs="Times New Roman"/>
          <w:color w:val="1A1A1A"/>
          <w:sz w:val="22"/>
        </w:rPr>
        <w:t>August 7, 2025</w:t>
      </w:r>
    </w:p>
    <w:p w14:paraId="4F554A92">
      <w:pPr>
        <w:spacing w:after="200"/>
        <w:jc w:val="center"/>
        <w:rPr>
          <w:rFonts w:hint="default" w:ascii="Times New Roman" w:hAnsi="Times New Roman" w:eastAsia="微软雅黑" w:cs="Times New Roman"/>
          <w:color w:val="auto"/>
          <w:sz w:val="20"/>
        </w:rPr>
      </w:pPr>
      <w:r>
        <w:rPr>
          <w:rFonts w:hint="default" w:ascii="Times New Roman" w:hAnsi="Times New Roman" w:eastAsia="微软雅黑" w:cs="Times New Roman"/>
          <w:color w:val="auto"/>
          <w:sz w:val="20"/>
        </w:rPr>
        <w:t>Source: Wuhu Municipal People's Government</w:t>
      </w:r>
    </w:p>
    <w:p w14:paraId="72CAF1E1">
      <w:pPr>
        <w:spacing w:after="200"/>
        <w:jc w:val="center"/>
        <w:rPr>
          <w:rFonts w:hint="default" w:ascii="Times New Roman" w:hAnsi="Times New Roman" w:eastAsia="微软雅黑" w:cs="Times New Roman"/>
          <w:color w:val="auto"/>
          <w:sz w:val="20"/>
        </w:rPr>
      </w:pPr>
      <w:bookmarkStart w:id="0" w:name="_GoBack"/>
      <w:bookmarkEnd w:id="0"/>
    </w:p>
    <w:p w14:paraId="4751517C">
      <w:pPr>
        <w:keepNext/>
        <w:keepLines/>
        <w:spacing w:before="400" w:after="200"/>
        <w:rPr>
          <w:rFonts w:hint="default" w:ascii="Times New Roman" w:hAnsi="Times New Roman" w:cs="Times New Roman"/>
        </w:rPr>
      </w:pPr>
      <w:r>
        <w:rPr>
          <w:rFonts w:hint="default" w:ascii="Times New Roman" w:hAnsi="Times New Roman" w:eastAsia="微软雅黑" w:cs="Times New Roman"/>
          <w:b/>
          <w:color w:val="2C5282"/>
          <w:sz w:val="28"/>
        </w:rPr>
        <w:t>Chapter I General Provisions</w:t>
      </w:r>
    </w:p>
    <w:p w14:paraId="055D3C71">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1. </w:t>
      </w:r>
      <w:r>
        <w:rPr>
          <w:rFonts w:hint="default" w:ascii="Times New Roman" w:hAnsi="Times New Roman" w:eastAsia="微软雅黑" w:cs="Times New Roman"/>
          <w:color w:val="1A1A1A"/>
          <w:sz w:val="22"/>
        </w:rPr>
        <w:t>These Measures are formulated in order to strengthen the safety management of civil unmanned aircraft (hereinafter referred to as “UAS”) flight and related activities in this City, safeguard public safety, and in accordance with the Civil Aviation Law of the People’s Republic of China, the Interim Regulation on the Administration of the Flight of Unmanned Aircraft, and other laws and regulations, in light of the actual conditions of this City.</w:t>
      </w:r>
    </w:p>
    <w:p w14:paraId="4DA5922A">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2. </w:t>
      </w:r>
      <w:r>
        <w:rPr>
          <w:rFonts w:hint="default" w:ascii="Times New Roman" w:hAnsi="Times New Roman" w:eastAsia="微软雅黑" w:cs="Times New Roman"/>
          <w:color w:val="1A1A1A"/>
          <w:sz w:val="22"/>
        </w:rPr>
        <w:t>These Measures shall apply to the flight of civil UAS and related activities involving public safety within the administrative area of this City, as well as the supervision and administration thereof.</w:t>
      </w:r>
    </w:p>
    <w:p w14:paraId="6D115795">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For the purpose of these Measures, “civil UAS” means aircraft without an onboard pilot and equipped with a self-contained power system. Civil UAS are classified, based on performance indicators, into micro, light, small, medium, and large categories.</w:t>
      </w:r>
    </w:p>
    <w:p w14:paraId="1EF7A1E9">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3. </w:t>
      </w:r>
      <w:r>
        <w:rPr>
          <w:rFonts w:hint="default" w:ascii="Times New Roman" w:hAnsi="Times New Roman" w:eastAsia="微软雅黑" w:cs="Times New Roman"/>
          <w:color w:val="1A1A1A"/>
          <w:sz w:val="22"/>
        </w:rPr>
        <w:t>The public safety management of civil UAS shall uphold and strengthen the leadership of the Party, adhere to the holistic approach to national security, and follow the principle of attaching equal importance to ensuring safety and serving development. It shall implement innovative and integrated development, adopt graded and categorized measures, and exercise coordinated and collaborative regulation.</w:t>
      </w:r>
    </w:p>
    <w:p w14:paraId="5A22D529">
      <w:pPr>
        <w:keepNext/>
        <w:keepLines/>
        <w:spacing w:before="400" w:after="200"/>
        <w:rPr>
          <w:rFonts w:hint="default" w:ascii="Times New Roman" w:hAnsi="Times New Roman" w:cs="Times New Roman"/>
        </w:rPr>
      </w:pPr>
      <w:r>
        <w:rPr>
          <w:rFonts w:hint="default" w:ascii="Times New Roman" w:hAnsi="Times New Roman" w:eastAsia="微软雅黑" w:cs="Times New Roman"/>
          <w:b/>
          <w:color w:val="2C5282"/>
          <w:sz w:val="28"/>
        </w:rPr>
        <w:t>Chapter II Division of Responsibilities</w:t>
      </w:r>
    </w:p>
    <w:p w14:paraId="131D9FCA">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4. </w:t>
      </w:r>
      <w:r>
        <w:rPr>
          <w:rFonts w:hint="default" w:ascii="Times New Roman" w:hAnsi="Times New Roman" w:eastAsia="微软雅黑" w:cs="Times New Roman"/>
          <w:color w:val="1A1A1A"/>
          <w:sz w:val="22"/>
        </w:rPr>
        <w:t>The Municipal People’s Government shall exercise unified leadership over the public safety management of civil UAS within the administrative area of this City.</w:t>
      </w:r>
    </w:p>
    <w:p w14:paraId="3BD4F72A">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People’s Governments of all counties (cities) and districts shall organize and carry out the specific work related to the public safety management of civil UAS.</w:t>
      </w:r>
    </w:p>
    <w:p w14:paraId="14EA2D53">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color w:val="1A1A1A"/>
          <w:sz w:val="22"/>
        </w:rPr>
        <w:t>The Management Committees of Wanjiang Jiangbei Emerging Industry Concentration Zone, Economic and Technological Development Zone, and Sanshan Economic Development Zone shall, in accordance with their respective responsibilities, ensure the implementation of these Measures within their respective jurisdictions.</w:t>
      </w:r>
    </w:p>
    <w:p w14:paraId="37773E5D">
      <w:pPr>
        <w:spacing w:after="16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5. </w:t>
      </w:r>
      <w:r>
        <w:rPr>
          <w:rFonts w:hint="default" w:ascii="Times New Roman" w:hAnsi="Times New Roman" w:eastAsia="微软雅黑" w:cs="Times New Roman"/>
          <w:color w:val="1A1A1A"/>
          <w:sz w:val="22"/>
        </w:rPr>
        <w:t>The transportation department shall, in accordance with the relevant requirements of air traffic management agencies, civil aviation administration departments, and other higher-level authorities, coordinate with relevant entities to advance the management of UAS flight airspace, infrastructure construction, flight service support, and other related work.</w:t>
      </w:r>
    </w:p>
    <w:p w14:paraId="77091513">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The public security organs shall be responsible for the public safety management of civil UAS, investigate and punish, in accordance with the law, illegal acts such as violations of flight management regulations, disruption of public order, and endangerment of public safety, and establish mechanisms with relevant entities for the transfer of reported clues and the mutual exchange of information on administrative penalties and compulsory administrative measures.</w:t>
      </w:r>
    </w:p>
    <w:p w14:paraId="35E5026D">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The market supervision department shall, in accordance with the laws and regulations on product quality and standardized management, supervise and administer the production, modification, assembly, sale, and recall of micro, light, and small civil UAS.</w:t>
      </w:r>
    </w:p>
    <w:p w14:paraId="05582113">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The radio management authority shall, in accordance with the laws and regulations on radio management, supervise and administer the production, maintenance, and use of civil UAS.</w:t>
      </w:r>
    </w:p>
    <w:p w14:paraId="242CD4BC">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The agriculture and rural affairs department shall supervise and administer the operation of agricultural UAS.</w:t>
      </w:r>
    </w:p>
    <w:p w14:paraId="488C9DFB">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The emergency management department shall guide and supervise relevant entities in performing low-altitude flight emergency rescue work.</w:t>
      </w:r>
    </w:p>
    <w:p w14:paraId="1EA24C12">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State security organs shall participate in the supervision and administration of UAS flight activities within a certain range around vital units such as important state organs, military installations, national defense research institutions, military-industrial enterprises, and important official reception venues.</w:t>
      </w:r>
    </w:p>
    <w:p w14:paraId="300A71B8">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color w:val="1A1A1A"/>
          <w:sz w:val="22"/>
        </w:rPr>
        <w:t>Relevant entities, including those responsible for development and reform, industry and information technology, natural resources and planning, culture and tourism, sports, and meteorology, shall, in accordance with their respective responsibilities, perform relevant work related to the public safety management of civil UAS.</w:t>
      </w:r>
    </w:p>
    <w:p w14:paraId="0E63B0BF">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b/>
          <w:color w:val="1A1A1A"/>
          <w:sz w:val="22"/>
        </w:rPr>
        <w:t xml:space="preserve">Article 6. </w:t>
      </w:r>
      <w:r>
        <w:rPr>
          <w:rFonts w:hint="default" w:ascii="Times New Roman" w:hAnsi="Times New Roman" w:eastAsia="微软雅黑" w:cs="Times New Roman"/>
          <w:color w:val="1A1A1A"/>
          <w:sz w:val="22"/>
        </w:rPr>
        <w:t>People’s Governments of counties (cities) and districts and relevant municipal departments and institutions shall provide support for scientific research and innovation in civil UAS and the promotion and application of their achievements, and promote the innovative integration of civil UAS public safety management with new technologies such as big data and artificial intelligence.</w:t>
      </w:r>
    </w:p>
    <w:p w14:paraId="70DE2F0B">
      <w:pPr>
        <w:spacing w:after="16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7. </w:t>
      </w:r>
      <w:r>
        <w:rPr>
          <w:rFonts w:hint="default" w:ascii="Times New Roman" w:hAnsi="Times New Roman" w:eastAsia="微软雅黑" w:cs="Times New Roman"/>
          <w:color w:val="1A1A1A"/>
          <w:sz w:val="22"/>
        </w:rPr>
        <w:t>Relevant professional institutions, training institutions, industry associations, and other entities and organizations are encouraged to participate in the public safety governance of civil UAS in accordance with the law, and promote the orderly development of the UAS industry.</w:t>
      </w:r>
    </w:p>
    <w:p w14:paraId="34E2062B">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Industry associations shall accept the guidance of relevant departments, strengthen industry self-regulation, and organize and carry out legal publicity and safety education.</w:t>
      </w:r>
    </w:p>
    <w:p w14:paraId="14E3FCE0">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Relevant professional institutions and training institutions are supported in scientifically formulating training curricula, incorporating national, provincial, and municipal civil UAS management regulations and related knowledge into teaching and training content, and enhancing the public safety awareness of trainees.</w:t>
      </w:r>
    </w:p>
    <w:p w14:paraId="249384CB">
      <w:pPr>
        <w:keepNext/>
        <w:keepLines/>
        <w:spacing w:before="400" w:after="200"/>
        <w:rPr>
          <w:rFonts w:hint="default" w:ascii="Times New Roman" w:hAnsi="Times New Roman" w:cs="Times New Roman"/>
        </w:rPr>
      </w:pPr>
      <w:r>
        <w:rPr>
          <w:rFonts w:hint="default" w:ascii="Times New Roman" w:hAnsi="Times New Roman" w:eastAsia="微软雅黑" w:cs="Times New Roman"/>
          <w:b/>
          <w:color w:val="2C5282"/>
          <w:sz w:val="28"/>
        </w:rPr>
        <w:t>Chapter III Public Safety Management</w:t>
      </w:r>
    </w:p>
    <w:p w14:paraId="423D9B89">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8. </w:t>
      </w:r>
      <w:r>
        <w:rPr>
          <w:rFonts w:hint="default" w:ascii="Times New Roman" w:hAnsi="Times New Roman" w:eastAsia="微软雅黑" w:cs="Times New Roman"/>
          <w:color w:val="1A1A1A"/>
          <w:sz w:val="22"/>
        </w:rPr>
        <w:t>Producers of civil UAS shall obtain corresponding permits in accordance with the law, produce civil UAS in compliance with national requirements, label product type and unique product identification code and other information, and ensure that products meet the national requirements for airspace keeping, sense and avoid, and other capabilities.</w:t>
      </w:r>
    </w:p>
    <w:p w14:paraId="23D29A4F">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Activities such as designing, producing, importing, flying, maintaining, assembling, selling, and using civil UAS shall comply with the laws and regulations on airworthiness licensing, radio management, product quality, and standardized management, as well as relevant national provisions.</w:t>
      </w:r>
    </w:p>
    <w:p w14:paraId="4768DC82">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Units using civil UAS other than micro types for flight activities shall obtain relevant permits such as the civil UAS operator certificate in accordance with relevant national provisions. Conventional agricultural UAS operation flight activities are exempt from obtaining an operator certificate in accordance with the law.</w:t>
      </w:r>
    </w:p>
    <w:p w14:paraId="6D1637D7">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9. </w:t>
      </w:r>
      <w:r>
        <w:rPr>
          <w:rFonts w:hint="default" w:ascii="Times New Roman" w:hAnsi="Times New Roman" w:eastAsia="微软雅黑" w:cs="Times New Roman"/>
          <w:color w:val="1A1A1A"/>
          <w:sz w:val="22"/>
        </w:rPr>
        <w:t>Owners of civil UAS operating within the administrative area of this City shall register under their real names in accordance with the law.</w:t>
      </w:r>
    </w:p>
    <w:p w14:paraId="6A777637">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color w:val="1A1A1A"/>
          <w:sz w:val="22"/>
        </w:rPr>
        <w:t>Civil UAS involved in cross-border flights shall undergo nationality registration in accordance with the law.</w:t>
      </w:r>
    </w:p>
    <w:p w14:paraId="6D2D5AAF">
      <w:pPr>
        <w:spacing w:after="16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10. </w:t>
      </w:r>
      <w:r>
        <w:rPr>
          <w:rFonts w:hint="default" w:ascii="Times New Roman" w:hAnsi="Times New Roman" w:eastAsia="微软雅黑" w:cs="Times New Roman"/>
          <w:color w:val="1A1A1A"/>
          <w:sz w:val="22"/>
        </w:rPr>
        <w:t>Persons operating small, medium, and large civil UAS in flight shall obtain corresponding valid civil UAS operator licenses.</w:t>
      </w:r>
    </w:p>
    <w:p w14:paraId="0CDB11FD">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color w:val="1A1A1A"/>
          <w:sz w:val="22"/>
        </w:rPr>
        <w:t>Persons engaged in conventional agricultural UAS operation flight activities are not required to obtain an operator license, but shall be trained and assessed by the agricultural UAS system producer in accordance with the contents prescribed by the competent civil aviation and agriculture and rural affairs departments under the State Council, and obtain an operation certificate upon passing the assessment.</w:t>
      </w:r>
    </w:p>
    <w:p w14:paraId="3CC5E6C2">
      <w:pPr>
        <w:spacing w:after="16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11. </w:t>
      </w:r>
      <w:r>
        <w:rPr>
          <w:rFonts w:hint="default" w:ascii="Times New Roman" w:hAnsi="Times New Roman" w:eastAsia="微软雅黑" w:cs="Times New Roman"/>
          <w:color w:val="1A1A1A"/>
          <w:sz w:val="22"/>
        </w:rPr>
        <w:t>For flight activities conducted by civil UAS other than micro types, the operator shall ensure that the UAS can transmit identification information to the national UAS integrated supervision and service platform in accordance with relevant national provisions.</w:t>
      </w:r>
    </w:p>
    <w:p w14:paraId="2F0355F7">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Micro, light, and small civil UAS shall automatically broadcast identification information during flight.</w:t>
      </w:r>
    </w:p>
    <w:p w14:paraId="440BACAA">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12. </w:t>
      </w:r>
      <w:r>
        <w:rPr>
          <w:rFonts w:hint="default" w:ascii="Times New Roman" w:hAnsi="Times New Roman" w:eastAsia="微软雅黑" w:cs="Times New Roman"/>
          <w:color w:val="1A1A1A"/>
          <w:sz w:val="22"/>
        </w:rPr>
        <w:t>Units or individuals using civil UAS for commercial flight activities, and those using small, medium, and large civil UAS for non-commercial flight activities, shall purchase liability insurance in accordance with the law.</w:t>
      </w:r>
    </w:p>
    <w:p w14:paraId="5667790F">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Micro and light civil UAS engaged in non-commercial flight activities are encouraged to purchase liability insurance.</w:t>
      </w:r>
    </w:p>
    <w:p w14:paraId="3980EA65">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Insurance institutions are encouraged to develop insurance products adapted to civil UAS flight activities.</w:t>
      </w:r>
    </w:p>
    <w:p w14:paraId="5193625B">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13. </w:t>
      </w:r>
      <w:r>
        <w:rPr>
          <w:rFonts w:hint="default" w:ascii="Times New Roman" w:hAnsi="Times New Roman" w:eastAsia="微软雅黑" w:cs="Times New Roman"/>
          <w:color w:val="1A1A1A"/>
          <w:sz w:val="22"/>
        </w:rPr>
        <w:t>People’s Governments of all counties (cities) and districts shall regularly assess airspace conditions within their jurisdictions, submit relevant opinions on the establishment of controlled airspace to the municipal transportation department, which shall then submit them to the air traffic management agency for determination of the specific scope of controlled airspace in accordance with the law.</w:t>
      </w:r>
    </w:p>
    <w:p w14:paraId="30534FC3">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After the specific scope of controlled airspace is determined, the municipal transportation department shall request the Municipal People’s Government to announce it.</w:t>
      </w:r>
    </w:p>
    <w:p w14:paraId="10F4B562">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color w:val="1A1A1A"/>
          <w:sz w:val="22"/>
        </w:rPr>
        <w:t>Airspace outside the scope of controlled airspace shall be the flyable airspace for micro, light, and small UAS (hereinafter referred to as “flyable airspace”).</w:t>
      </w:r>
    </w:p>
    <w:p w14:paraId="0CBF3082">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b/>
          <w:color w:val="1A1A1A"/>
          <w:sz w:val="22"/>
        </w:rPr>
        <w:t xml:space="preserve">Article 14. </w:t>
      </w:r>
      <w:r>
        <w:rPr>
          <w:rFonts w:hint="default" w:ascii="Times New Roman" w:hAnsi="Times New Roman" w:eastAsia="微软雅黑" w:cs="Times New Roman"/>
          <w:color w:val="1A1A1A"/>
          <w:sz w:val="22"/>
        </w:rPr>
        <w:t>Where controlled airspace is temporarily added to ensure the safety of major events or to perform other urgent tasks such as military missions, counter-terrorism and stability maintenance, emergency rescue and disaster relief, or medical emergency services, after the scope is determined by the air traffic management agency in accordance with relevant national provisions, the requiring unit shall, in conjunction with the municipal transportation department, request the Municipal People’s Government to issue an announcement.</w:t>
      </w:r>
    </w:p>
    <w:p w14:paraId="221E7AE0">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b/>
          <w:color w:val="1A1A1A"/>
          <w:sz w:val="22"/>
        </w:rPr>
        <w:t xml:space="preserve">Article 15. </w:t>
      </w:r>
      <w:r>
        <w:rPr>
          <w:rFonts w:hint="default" w:ascii="Times New Roman" w:hAnsi="Times New Roman" w:eastAsia="微软雅黑" w:cs="Times New Roman"/>
          <w:color w:val="1A1A1A"/>
          <w:sz w:val="22"/>
        </w:rPr>
        <w:t>People’s Governments of all counties (cities) and districts shall, in accordance with the relevant provisions of the Interim Regulation on the Administration of the Flight of Unmanned Aircraft and based on the overall organizational deployment of the Municipal Government, specifically implement the installation of ground warning signs for controlled airspace and strengthen routine patrols.</w:t>
      </w:r>
    </w:p>
    <w:p w14:paraId="20BFA777">
      <w:pPr>
        <w:spacing w:after="16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16. </w:t>
      </w:r>
      <w:r>
        <w:rPr>
          <w:rFonts w:hint="default" w:ascii="Times New Roman" w:hAnsi="Times New Roman" w:eastAsia="微软雅黑" w:cs="Times New Roman"/>
          <w:color w:val="1A1A1A"/>
          <w:sz w:val="22"/>
        </w:rPr>
        <w:t>Where the organization or implementation of civil UAS flight activities requires approval from the air traffic management agency in accordance with the law, the organizing unit or individual shall submit an application for the flight activity in accordance with regulations.</w:t>
      </w:r>
    </w:p>
    <w:p w14:paraId="79841086">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17. </w:t>
      </w:r>
      <w:r>
        <w:rPr>
          <w:rFonts w:hint="default" w:ascii="Times New Roman" w:hAnsi="Times New Roman" w:eastAsia="微软雅黑" w:cs="Times New Roman"/>
          <w:color w:val="1A1A1A"/>
          <w:sz w:val="22"/>
        </w:rPr>
        <w:t>Civil UAS flight demonstrations that meet the standards of large-scale mass activities shall also be managed in accordance with the relevant provisions of the Regulations on the Administration of Safety of Large-Scale Mass Activities and other regulations.</w:t>
      </w:r>
    </w:p>
    <w:p w14:paraId="1F71ABB1">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18. </w:t>
      </w:r>
      <w:r>
        <w:rPr>
          <w:rFonts w:hint="default" w:ascii="Times New Roman" w:hAnsi="Times New Roman" w:eastAsia="微软雅黑" w:cs="Times New Roman"/>
          <w:color w:val="1A1A1A"/>
          <w:sz w:val="22"/>
        </w:rPr>
        <w:t>Units or individuals organizing or implementing civil UAS flight activities shall comply with the Civil Aviation Law of the People’s Republic of China, the Interim Regulation on the Administration of the Flight of Unmanned Aircraft, and other relevant laws and regulations, as well as the norms of UAS flight safety management systems, proactively take accident prevention measures, and bear primary responsibility for flight safety.</w:t>
      </w:r>
    </w:p>
    <w:p w14:paraId="3F9F76AB">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19. </w:t>
      </w:r>
      <w:r>
        <w:rPr>
          <w:rFonts w:hint="default" w:ascii="Times New Roman" w:hAnsi="Times New Roman" w:eastAsia="微软雅黑" w:cs="Times New Roman"/>
          <w:color w:val="1A1A1A"/>
          <w:sz w:val="22"/>
        </w:rPr>
        <w:t>Persons operating civil UAS in flight activities shall comply with the behavioral norms and avoidance rules prescribed in the Interim Regulation on the Administration of the Flight of Unmanned Aircraft and other laws and regulations.</w:t>
      </w:r>
    </w:p>
    <w:p w14:paraId="210C2D29">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20. </w:t>
      </w:r>
      <w:r>
        <w:rPr>
          <w:rFonts w:hint="default" w:ascii="Times New Roman" w:hAnsi="Times New Roman" w:eastAsia="微软雅黑" w:cs="Times New Roman"/>
          <w:color w:val="1A1A1A"/>
          <w:sz w:val="22"/>
        </w:rPr>
        <w:t>No unit or individual shall use civil UAS to carry out any of the following acts:</w:t>
      </w:r>
    </w:p>
    <w:p w14:paraId="1759E4B1">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(1)Illegally filming or photographing military installations, military-industrial facilities, or other classified premises;</w:t>
      </w:r>
    </w:p>
    <w:p w14:paraId="76E50440">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(2)Disrupting the working order of organs, organizations, enterprises, and institutions, or the order of public places;</w:t>
      </w:r>
    </w:p>
    <w:p w14:paraId="6EF03384">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(3)Obstructing state organ personnel from performing their official duties in accordance with the law;</w:t>
      </w:r>
    </w:p>
    <w:p w14:paraId="54A58CDA">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(4)Releasing promotional materials or other items containing content that violates laws and regulations;</w:t>
      </w:r>
    </w:p>
    <w:p w14:paraId="0DEB7810">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(5)Endangering the safety of public facilities or the property of units or individuals;</w:t>
      </w:r>
    </w:p>
    <w:p w14:paraId="2381AD2E">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(6)Endangering the life and health of others, illegally collecting information, or infringing upon other personal rights and interests of others;</w:t>
      </w:r>
    </w:p>
    <w:p w14:paraId="377706D5">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(7)Illegally obtaining or disclosing state secrets, or illegally providing data and information to overseas entities;</w:t>
      </w:r>
    </w:p>
    <w:p w14:paraId="1D9B39D7">
      <w:pPr>
        <w:spacing w:before="80" w:after="120" w:line="360" w:lineRule="auto"/>
        <w:ind w:left="480" w:hanging="480"/>
        <w:jc w:val="both"/>
        <w:rPr>
          <w:rFonts w:hint="default" w:ascii="Times New Roman" w:hAnsi="Times New Roman" w:eastAsia="微软雅黑" w:cs="Times New Roman"/>
          <w:color w:val="1A1A1A"/>
          <w:sz w:val="22"/>
        </w:rPr>
      </w:pPr>
      <w:r>
        <w:rPr>
          <w:rFonts w:hint="default" w:ascii="Times New Roman" w:hAnsi="Times New Roman" w:eastAsia="微软雅黑" w:cs="Times New Roman"/>
          <w:color w:val="1A1A1A"/>
          <w:sz w:val="22"/>
        </w:rPr>
        <w:t>(8)Other acts prohibited by laws and regulations.</w:t>
      </w:r>
    </w:p>
    <w:p w14:paraId="3F66840E">
      <w:pPr>
        <w:spacing w:before="80" w:after="120" w:line="360" w:lineRule="auto"/>
        <w:ind w:left="480" w:hanging="480"/>
        <w:jc w:val="both"/>
        <w:rPr>
          <w:rFonts w:hint="default" w:ascii="Times New Roman" w:hAnsi="Times New Roman" w:eastAsia="微软雅黑" w:cs="Times New Roman"/>
          <w:b/>
          <w:color w:val="2C5282"/>
          <w:sz w:val="28"/>
        </w:rPr>
      </w:pPr>
      <w:r>
        <w:rPr>
          <w:rFonts w:hint="default" w:ascii="Times New Roman" w:hAnsi="Times New Roman" w:eastAsia="微软雅黑" w:cs="Times New Roman"/>
          <w:b/>
          <w:color w:val="2C5282"/>
          <w:sz w:val="28"/>
        </w:rPr>
        <w:t>Chapter IV Emergency Response</w:t>
      </w:r>
    </w:p>
    <w:p w14:paraId="5034FC4F">
      <w:pPr>
        <w:spacing w:before="8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21. </w:t>
      </w:r>
      <w:r>
        <w:rPr>
          <w:rFonts w:hint="default" w:ascii="Times New Roman" w:hAnsi="Times New Roman" w:eastAsia="微软雅黑" w:cs="Times New Roman"/>
          <w:color w:val="1A1A1A"/>
          <w:sz w:val="22"/>
        </w:rPr>
        <w:t>The public security organs at the municipal and county (city) and district levels shall formulate emergency response plans for the public safety management of civil UAS in accordance with the law, organize regular drills, and enhance emergency response capabilities. When major public safety risks arise, emergency response plans shall be activated, emergency measures shall be taken in accordance with the law, and public security and order in key areas shall be strengthened.</w:t>
      </w:r>
    </w:p>
    <w:p w14:paraId="6B80936A">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The emergency management departments at the municipal and county (city) and district levels shall, in conjunction with relevant departments, incorporate civil UAS safety emergency management into the government’s emergency response system for unexpected events, and improve the emergency response working mechanism of information sharing and collaborative coordination.</w:t>
      </w:r>
    </w:p>
    <w:p w14:paraId="6C29FF75">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22. </w:t>
      </w:r>
      <w:r>
        <w:rPr>
          <w:rFonts w:hint="default" w:ascii="Times New Roman" w:hAnsi="Times New Roman" w:eastAsia="微软雅黑" w:cs="Times New Roman"/>
          <w:color w:val="1A1A1A"/>
          <w:sz w:val="22"/>
        </w:rPr>
        <w:t>Units or individuals using civil UAS shall, in accordance with relevant provisions, formulate flight emergency response plans, implement risk prevention measures, and promptly eliminate safety hazards.</w:t>
      </w:r>
    </w:p>
    <w:p w14:paraId="477717ED">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color w:val="1A1A1A"/>
          <w:sz w:val="22"/>
        </w:rPr>
        <w:t>In the event of abnormal circumstances during civil UAS flight, the unit or individual organizing the flight activity shall respond promptly and comply with the instructions of the air traffic management agency. If flight safety issues arise, the unit or individual organizing the flight activity shall also report the relevant situation to the air traffic management agency in accordance with regulations.</w:t>
      </w:r>
    </w:p>
    <w:p w14:paraId="5C787B82">
      <w:pPr>
        <w:spacing w:after="160" w:line="360" w:lineRule="auto"/>
        <w:jc w:val="both"/>
        <w:rPr>
          <w:rFonts w:hint="default" w:ascii="Times New Roman" w:hAnsi="Times New Roman" w:eastAsia="微软雅黑" w:cs="Times New Roman"/>
          <w:color w:val="1A1A1A"/>
          <w:sz w:val="22"/>
        </w:rPr>
      </w:pPr>
      <w:r>
        <w:rPr>
          <w:rFonts w:hint="default" w:ascii="Times New Roman" w:hAnsi="Times New Roman" w:eastAsia="微软雅黑" w:cs="Times New Roman"/>
          <w:b/>
          <w:color w:val="1A1A1A"/>
          <w:sz w:val="22"/>
        </w:rPr>
        <w:t xml:space="preserve">Article 23. </w:t>
      </w:r>
      <w:r>
        <w:rPr>
          <w:rFonts w:hint="default" w:ascii="Times New Roman" w:hAnsi="Times New Roman" w:eastAsia="微软雅黑" w:cs="Times New Roman"/>
          <w:color w:val="1A1A1A"/>
          <w:sz w:val="22"/>
        </w:rPr>
        <w:t>Any unit or individual that discovers acts in violation of these Measures may report them to the local public security organs or relevant departments and units. The department or unit receiving the report shall handle the matter in a timely manner in accordance with the law; if the matter does not fall within the responsibilities of the receiving department or unit, it shall be transferred in a timely manner to the department or unit with jurisdiction.</w:t>
      </w:r>
    </w:p>
    <w:p w14:paraId="3FCA53BD">
      <w:pPr>
        <w:spacing w:after="16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24. </w:t>
      </w:r>
      <w:r>
        <w:rPr>
          <w:rFonts w:hint="default" w:ascii="Times New Roman" w:hAnsi="Times New Roman" w:eastAsia="微软雅黑" w:cs="Times New Roman"/>
          <w:color w:val="1A1A1A"/>
          <w:sz w:val="22"/>
        </w:rPr>
        <w:t>With regard to unidentified aerial situations and violations of civil UAS flight regulations, the public security organs may, when conditions permit, carry out preliminary response measures against low-altitude targets, and shall be responsible for on-site handling after the landing of UAS that have violated flight regulations. Where the public security organs are responsible for organizing investigation and handling, they shall handle the matter promptly in accordance with the law; where the military organs, state security organs, customs, or other units are responsible for organizing investigation and handling, the public security organs shall transfer the matter promptly in accordance with the law.</w:t>
      </w:r>
    </w:p>
    <w:p w14:paraId="2707E0E2">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25. </w:t>
      </w:r>
      <w:r>
        <w:rPr>
          <w:rFonts w:hint="default" w:ascii="Times New Roman" w:hAnsi="Times New Roman" w:eastAsia="微软雅黑" w:cs="Times New Roman"/>
          <w:color w:val="1A1A1A"/>
          <w:sz w:val="22"/>
        </w:rPr>
        <w:t>Where users of civil UAS violate flight management regulations, disrupt public order, or endanger public safety, the public security organs may dissuade them; if they fail to comply, they shall be ordered to cease the flight. When necessary, the public security organs may, in accordance with the law, implement emergency response measures such as interception, forced landing, capture, neutralization, and other technical prevention and control measures, as well as inspection and seizure of civil UAS and sealing of premises involved in illegal activities, and collaborate with relevant safety management departments for effective crackdown and supervision.</w:t>
      </w:r>
    </w:p>
    <w:p w14:paraId="178FEEED">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26. </w:t>
      </w:r>
      <w:r>
        <w:rPr>
          <w:rFonts w:hint="default" w:ascii="Times New Roman" w:hAnsi="Times New Roman" w:eastAsia="微软雅黑" w:cs="Times New Roman"/>
          <w:color w:val="1A1A1A"/>
          <w:sz w:val="22"/>
        </w:rPr>
        <w:t>The deployment, installation, and use of counter-UAS equipment shall be carried out in accordance with the Interim Regulation on the Administration of the Flight of Unmanned Aircraft and relevant national provisions. Units legally equipped with counter-UAS equipment shall exercise strict control over the installation and use thereof under the guidance and supervision of the public security organs and other relevant departments.</w:t>
      </w:r>
    </w:p>
    <w:p w14:paraId="507E105C">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No unit or individual shall illegally possess or use counter-UAS equipment.</w:t>
      </w:r>
    </w:p>
    <w:p w14:paraId="285C47E2">
      <w:pPr>
        <w:keepNext/>
        <w:keepLines/>
        <w:spacing w:before="400" w:after="200"/>
        <w:rPr>
          <w:rFonts w:hint="default" w:ascii="Times New Roman" w:hAnsi="Times New Roman" w:cs="Times New Roman"/>
        </w:rPr>
      </w:pPr>
      <w:r>
        <w:rPr>
          <w:rFonts w:hint="default" w:ascii="Times New Roman" w:hAnsi="Times New Roman" w:eastAsia="微软雅黑" w:cs="Times New Roman"/>
          <w:b/>
          <w:color w:val="2C5282"/>
          <w:sz w:val="28"/>
        </w:rPr>
        <w:t>Chapter V Legal Liability</w:t>
      </w:r>
    </w:p>
    <w:p w14:paraId="62060979">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27. </w:t>
      </w:r>
      <w:r>
        <w:rPr>
          <w:rFonts w:hint="default" w:ascii="Times New Roman" w:hAnsi="Times New Roman" w:eastAsia="微软雅黑" w:cs="Times New Roman"/>
          <w:color w:val="1A1A1A"/>
          <w:sz w:val="22"/>
        </w:rPr>
        <w:t>Acts that violate the relevant provisions of these Measures on the public safety management of civil UAS shall be punished by the public security organs, state security organs, market supervision department, industry and information technology department, agriculture and rural affairs department, natural resources and planning department, radio management authority, and other departments and institutions in accordance with the Interim Regulation on the Administration of the Flight of Unmanned Aircraft and relevant laws, regulations, and rules.</w:t>
      </w:r>
    </w:p>
    <w:p w14:paraId="47EFE28C">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28. </w:t>
      </w:r>
      <w:r>
        <w:rPr>
          <w:rFonts w:hint="default" w:ascii="Times New Roman" w:hAnsi="Times New Roman" w:eastAsia="微软雅黑" w:cs="Times New Roman"/>
          <w:color w:val="1A1A1A"/>
          <w:sz w:val="22"/>
        </w:rPr>
        <w:t>Where acts in violation of these Measures constitute violations of public security administration, the public security organs shall impose public security administrative penalties in accordance with the law; where acts are suspected of endangering national security but do not constitute a crime, the state security organs shall impose administrative penalties in accordance with the law; where acts constitute a crime, criminal responsibility shall be pursued in accordance with the law; where acts cause personal injury, property damage, or other damage, civil liability shall be borne in accordance with the law.</w:t>
      </w:r>
    </w:p>
    <w:p w14:paraId="6E2E0889">
      <w:pPr>
        <w:keepNext/>
        <w:keepLines/>
        <w:spacing w:before="400" w:after="200"/>
        <w:rPr>
          <w:rFonts w:hint="default" w:ascii="Times New Roman" w:hAnsi="Times New Roman" w:cs="Times New Roman"/>
        </w:rPr>
      </w:pPr>
      <w:r>
        <w:rPr>
          <w:rFonts w:hint="default" w:ascii="Times New Roman" w:hAnsi="Times New Roman" w:eastAsia="微软雅黑" w:cs="Times New Roman"/>
          <w:b/>
          <w:color w:val="2C5282"/>
          <w:sz w:val="28"/>
        </w:rPr>
        <w:t>Chapter VI Supplementary Provisions</w:t>
      </w:r>
    </w:p>
    <w:p w14:paraId="535BAC59">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29. </w:t>
      </w:r>
      <w:r>
        <w:rPr>
          <w:rFonts w:hint="default" w:ascii="Times New Roman" w:hAnsi="Times New Roman" w:eastAsia="微软雅黑" w:cs="Times New Roman"/>
          <w:color w:val="1A1A1A"/>
          <w:sz w:val="22"/>
        </w:rPr>
        <w:t>These Measures shall not apply to the indoor flight of civil UAS.</w:t>
      </w:r>
    </w:p>
    <w:p w14:paraId="12D1D052">
      <w:pPr>
        <w:spacing w:after="160" w:line="360" w:lineRule="auto"/>
        <w:jc w:val="both"/>
        <w:rPr>
          <w:rFonts w:hint="default" w:ascii="Times New Roman" w:hAnsi="Times New Roman" w:cs="Times New Roman"/>
        </w:rPr>
      </w:pPr>
      <w:r>
        <w:rPr>
          <w:rFonts w:hint="default" w:ascii="Times New Roman" w:hAnsi="Times New Roman" w:eastAsia="微软雅黑" w:cs="Times New Roman"/>
          <w:color w:val="1A1A1A"/>
          <w:sz w:val="22"/>
        </w:rPr>
        <w:t>The management of UAS of the military, police, customs, and emergency management departments shall be carried out in accordance with relevant national provisions.</w:t>
      </w:r>
    </w:p>
    <w:p w14:paraId="0513B7BB">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30. </w:t>
      </w:r>
      <w:r>
        <w:rPr>
          <w:rFonts w:hint="default" w:ascii="Times New Roman" w:hAnsi="Times New Roman" w:eastAsia="微软雅黑" w:cs="Times New Roman"/>
          <w:color w:val="1A1A1A"/>
          <w:sz w:val="22"/>
        </w:rPr>
        <w:t>The meanings of the following terms used in these Measures are:</w:t>
      </w:r>
    </w:p>
    <w:p w14:paraId="0D09A49E">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(1)“Air traffic management agency” means the agency within the military and civil aviation administration departments responsible for air traffic management in the relevant area of responsibility.</w:t>
      </w:r>
    </w:p>
    <w:p w14:paraId="536110BF">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(2)“Micro unmanned aircraft” means an unmanned aircraft with an empty weight of less than 0.25 kg, a maximum flight true altitude of no more than 50 meters, a maximum level flight speed of no more than 40 km/h, radio transmitting equipment that meets the technical requirements for micro-power short-distance applications, and the capability for manual intervention at any time throughout the entire flight.</w:t>
      </w:r>
    </w:p>
    <w:p w14:paraId="3A0F24EE">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(3)“Light unmanned aircraft” means an unmanned aircraft with an empty weight of no more than 4 kg and a maximum takeoff weight of no more than 7 kg, a maximum level flight speed of no more than 100 km/h, airspace keeping capability and reliable surveillance capability that meet airspace management requirements, and the capability for manual intervention at any time throughout the entire flight, but excluding micro unmanned aircraft.</w:t>
      </w:r>
    </w:p>
    <w:p w14:paraId="40F18544">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(4)“Small unmanned aircraft” means an unmanned aircraft with an empty weight of no more than 15 kg and a maximum takeoff weight of no more than 25 kg, airspace keeping capability and reliable surveillance capability that meet airspace management requirements, and the capability for manual intervention at any time throughout the entire flight, but excluding micro and light unmanned aircraft.</w:t>
      </w:r>
    </w:p>
    <w:p w14:paraId="181ED790">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(5)“Medium unmanned aircraft” means an unmanned aircraft with a maximum takeoff weight of no more than 150 kg, but excluding micro, light, and small unmanned aircraft.</w:t>
      </w:r>
    </w:p>
    <w:p w14:paraId="310567CB">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(6)“Large unmanned aircraft” means an unmanned aircraft with a maximum takeoff weight exceeding 150 kg.</w:t>
      </w:r>
    </w:p>
    <w:p w14:paraId="4BCD2A58">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(7)“Unmanned aircraft system” means a system composed of an unmanned aircraft and its associated remote control station(s), mission payloads, and control links. The “remote control station” means the entirety composed of various control devices (means) for remotely controlling the unmanned aircraft and their associated systems.</w:t>
      </w:r>
    </w:p>
    <w:p w14:paraId="3BD1497B">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(8)“Agricultural unmanned aircraft” means an unmanned aircraft with a maximum flight true altitude of no more than 30 meters, a maximum level flight speed of no more than 50 km/h, a maximum flight radius of no more than 2,000 meters, airspace keeping capability and reliable surveillance capability, specifically used for agricultural, forestry, animal husbandry, and fishery operations such as plant protection, sowing, and bait delivery, with the capability for manual intervention at any time throughout the entire flight.</w:t>
      </w:r>
    </w:p>
    <w:p w14:paraId="5D22EA2C">
      <w:pPr>
        <w:spacing w:before="80" w:after="120" w:line="360" w:lineRule="auto"/>
        <w:ind w:left="480" w:hanging="480"/>
        <w:jc w:val="both"/>
        <w:rPr>
          <w:rFonts w:hint="default" w:ascii="Times New Roman" w:hAnsi="Times New Roman" w:cs="Times New Roman"/>
        </w:rPr>
      </w:pPr>
      <w:r>
        <w:rPr>
          <w:rFonts w:hint="default" w:ascii="Times New Roman" w:hAnsi="Times New Roman" w:eastAsia="微软雅黑" w:cs="Times New Roman"/>
          <w:color w:val="1A1A1A"/>
          <w:sz w:val="22"/>
        </w:rPr>
        <w:t>(9)“Conventional agricultural unmanned aircraft operation flight activity” means an operation flight activity using an agricultural unmanned aircraft with a maximum takeoff weight of no more than 150 kg within the flyable airspace above agricultural, forestry, animal husbandry, and fishery areas.</w:t>
      </w:r>
    </w:p>
    <w:p w14:paraId="544DF69A">
      <w:pPr>
        <w:keepNext/>
        <w:spacing w:before="160" w:after="120" w:line="360" w:lineRule="auto"/>
        <w:jc w:val="both"/>
        <w:rPr>
          <w:rFonts w:hint="default" w:ascii="Times New Roman" w:hAnsi="Times New Roman" w:cs="Times New Roman"/>
        </w:rPr>
      </w:pPr>
      <w:r>
        <w:rPr>
          <w:rFonts w:hint="default" w:ascii="Times New Roman" w:hAnsi="Times New Roman" w:eastAsia="微软雅黑" w:cs="Times New Roman"/>
          <w:b/>
          <w:color w:val="1A1A1A"/>
          <w:sz w:val="22"/>
        </w:rPr>
        <w:t xml:space="preserve">Article 31. </w:t>
      </w:r>
      <w:r>
        <w:rPr>
          <w:rFonts w:hint="default" w:ascii="Times New Roman" w:hAnsi="Times New Roman" w:eastAsia="微软雅黑" w:cs="Times New Roman"/>
          <w:color w:val="1A1A1A"/>
          <w:sz w:val="22"/>
        </w:rPr>
        <w:t>These Measures shall come into effect on September 10, 2025.</w:t>
      </w:r>
    </w:p>
    <w:sectPr>
      <w:footerReference r:id="rId5" w:type="default"/>
      <w:pgSz w:w="11906" w:h="16838"/>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3970943-B8EA-4943-9753-080C3CB14397}"/>
  </w:font>
  <w:font w:name="微软雅黑">
    <w:panose1 w:val="020B0503020204020204"/>
    <w:charset w:val="86"/>
    <w:family w:val="auto"/>
    <w:pitch w:val="default"/>
    <w:sig w:usb0="80000287" w:usb1="2ACF3C50" w:usb2="00000016" w:usb3="00000000" w:csb0="0004001F" w:csb1="00000000"/>
    <w:embedRegular r:id="rId2" w:fontKey="{636F771F-23F9-49AE-A998-E4E181218D3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0194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3781D4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3781D4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40" w:lineRule="auto"/>
      </w:pPr>
      <w:r>
        <w:separator/>
      </w:r>
    </w:p>
  </w:footnote>
  <w:footnote w:type="continuationSeparator" w:id="1">
    <w:p>
      <w:pPr>
        <w:spacing w:before="0" w:after="0" w:line="3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C25852"/>
    <w:rsid w:val="49AE00ED"/>
    <w:rsid w:val="55EB44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340" w:lineRule="auto"/>
    </w:pPr>
    <w:rPr>
      <w:rFonts w:ascii="Calibri" w:hAnsi="Calibri" w:eastAsia="微软雅黑" w:cstheme="minorBidi"/>
      <w:color w:val="1A1A1A"/>
      <w:sz w:val="22"/>
      <w:szCs w:val="2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3011</Words>
  <Characters>18252</Characters>
  <TotalTime>3</TotalTime>
  <ScaleCrop>false</ScaleCrop>
  <LinksUpToDate>false</LinksUpToDate>
  <CharactersWithSpaces>21173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2026-06-11T22:45:00Z</dcterms:created>
  <dc:creator>35943</dc:creator>
  <cp:lastModifiedBy>norman</cp:lastModifiedBy>
  <dcterms:modified xsi:type="dcterms:W3CDTF">2026-06-12T01:46:23Z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6DC181127F314E87A110BB0BD6822D6D_13</vt:lpwstr>
  </property>
  <property fmtid="{D5CDD505-2E9C-101B-9397-08002B2CF9AE}" pid="4" name="KSOTemplateDocerSaveRecord">
    <vt:lpwstr>eyJoZGlkIjoiMzEwNTM5NzYwMDRjMzkwZTVkZjY2ODkwMGIxNGU0OTUiLCJ1c2VySWQiOiI0MTU5MTU5OTYifQ==</vt:lpwstr>
  </property>
</Properties>
</file>