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FC1AA1">
      <w:pPr>
        <w:spacing w:after="200"/>
        <w:jc w:val="center"/>
        <w:rPr>
          <w:rFonts w:hint="default" w:ascii="Times New Roman" w:hAnsi="Times New Roman" w:cs="Times New Roman"/>
        </w:rPr>
      </w:pPr>
      <w:r>
        <w:rPr>
          <w:rFonts w:hint="default" w:ascii="Times New Roman" w:hAnsi="Times New Roman" w:eastAsia="微软雅黑" w:cs="Times New Roman"/>
          <w:b/>
          <w:color w:val="1A1A1A"/>
          <w:sz w:val="32"/>
        </w:rPr>
        <w:t>Action Plan for Accelerating the Development of Future Industries in Wuhu</w:t>
      </w:r>
    </w:p>
    <w:p w14:paraId="759F4B9F">
      <w:pPr>
        <w:spacing w:after="40"/>
        <w:jc w:val="center"/>
        <w:rPr>
          <w:rFonts w:hint="default" w:ascii="Times New Roman" w:hAnsi="Times New Roman" w:cs="Times New Roman"/>
          <w:color w:val="auto"/>
          <w:sz w:val="21"/>
          <w:szCs w:val="21"/>
        </w:rPr>
      </w:pPr>
      <w:r>
        <w:rPr>
          <w:rFonts w:hint="default" w:ascii="Times New Roman" w:hAnsi="Times New Roman" w:eastAsia="微软雅黑" w:cs="Times New Roman"/>
          <w:color w:val="auto"/>
          <w:sz w:val="21"/>
          <w:szCs w:val="21"/>
        </w:rPr>
        <w:t>Date of Issue: March 20, 2025</w:t>
      </w:r>
    </w:p>
    <w:p w14:paraId="469317A3">
      <w:pPr>
        <w:spacing w:after="40"/>
        <w:jc w:val="center"/>
        <w:rPr>
          <w:rFonts w:hint="default" w:ascii="Times New Roman" w:hAnsi="Times New Roman" w:cs="Times New Roman"/>
          <w:color w:val="auto"/>
        </w:rPr>
      </w:pPr>
      <w:r>
        <w:rPr>
          <w:rFonts w:hint="default" w:ascii="Times New Roman" w:hAnsi="Times New Roman" w:eastAsia="微软雅黑" w:cs="Times New Roman"/>
          <w:color w:val="auto"/>
          <w:sz w:val="20"/>
        </w:rPr>
        <w:t>Source: Wuhu Municipal People's Government</w:t>
      </w:r>
    </w:p>
    <w:p w14:paraId="2BB58771">
      <w:pPr>
        <w:spacing w:after="160" w:line="360" w:lineRule="auto"/>
        <w:jc w:val="both"/>
        <w:rPr>
          <w:rFonts w:hint="default" w:ascii="Times New Roman" w:hAnsi="Times New Roman" w:eastAsia="微软雅黑" w:cs="Times New Roman"/>
          <w:color w:val="1A1A1A"/>
          <w:sz w:val="22"/>
        </w:rPr>
      </w:pPr>
    </w:p>
    <w:p w14:paraId="01D8D56E">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Future industries are forward-looking emerging industries driven by frontier scientific and technological innovation. Currently in the embryonic stage or early phase of industrialization, they possess tremendous development potential to grow into leading and pillar industries, and play a major guiding and transformative role in future economic and social development. In order to seize the opportunities presented by the new round of scientific and technological revolution and industrial transformation, enhance Wuhu's new growth momentum and forge new advantages, cultivate and develop future industries, and accelerate the formation of new quality productive forces, this Action Plan is hereby formulated.</w:t>
      </w:r>
    </w:p>
    <w:p w14:paraId="53132B2B">
      <w:pPr>
        <w:keepNext/>
        <w:keepLines/>
        <w:spacing w:before="360" w:after="160"/>
        <w:rPr>
          <w:rFonts w:hint="default" w:ascii="Times New Roman" w:hAnsi="Times New Roman" w:cs="Times New Roman"/>
        </w:rPr>
      </w:pPr>
      <w:r>
        <w:rPr>
          <w:rFonts w:hint="default" w:ascii="Times New Roman" w:hAnsi="Times New Roman" w:eastAsia="微软雅黑" w:cs="Times New Roman"/>
          <w:b/>
          <w:color w:val="2C5282"/>
          <w:sz w:val="28"/>
        </w:rPr>
        <w:t>I. Overall Approach</w:t>
      </w:r>
    </w:p>
    <w:p w14:paraId="2B34DCB9">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Guided by Xi Jinping Thought on Socialism with Chinese Characteristics for a New Era, and fully implementing the guiding principles of the 20th National Congress of the Communist Party of China (CPC) and the Second and Third Plenary Sessions of the 20th CPC Central Committee, we shall place the cultivation and development of future industries in a prominent position within the efforts to build a modernized industrial system. By grasping the trends of the global scientific and technological revolution and industrial transformation, anchoring priority areas, and adhering to the principles of forward-looking planning, innovation-driven development, application-driven growth, category-based advancement, and open collaboration, we shall implement the Future Industry Cultivation Initiative, build a future industry development chain spanning "source innovation – technology transformation – product development – scenario application – industrialization – industrial clusters," strengthen factor support and institutional innovation, and establish a nationally-leading future industry development system, thereby building an innovation source center and development highland for future industries of significant influence.</w:t>
      </w:r>
    </w:p>
    <w:p w14:paraId="228799D5">
      <w:pPr>
        <w:keepNext/>
        <w:keepLines/>
        <w:spacing w:before="360" w:after="160"/>
        <w:rPr>
          <w:rFonts w:hint="default" w:ascii="Times New Roman" w:hAnsi="Times New Roman" w:cs="Times New Roman"/>
        </w:rPr>
      </w:pPr>
      <w:r>
        <w:rPr>
          <w:rFonts w:hint="default" w:ascii="Times New Roman" w:hAnsi="Times New Roman" w:eastAsia="微软雅黑" w:cs="Times New Roman"/>
          <w:b/>
          <w:color w:val="2C5282"/>
          <w:sz w:val="28"/>
        </w:rPr>
        <w:t>II. Development Goals</w:t>
      </w:r>
    </w:p>
    <w:p w14:paraId="1A9F674B">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By 2027, the institutional mechanisms for innovation sourcing, transformation and incubation, application-driven development, and ecosystem cultivation for future industries shall be initially established. By 2030, a number of nationally-leading future industry clusters shall be formed, and Wuhu shall be built into a source of future technologies, a hub for future scenario applications, and a gathering place for future industries, all with significant influence and competitiveness.</w:t>
      </w:r>
    </w:p>
    <w:p w14:paraId="49295FA7">
      <w:pPr>
        <w:keepNext/>
        <w:spacing w:before="200" w:after="80"/>
        <w:rPr>
          <w:rFonts w:hint="default" w:ascii="Times New Roman" w:hAnsi="Times New Roman" w:cs="Times New Roman"/>
        </w:rPr>
      </w:pPr>
      <w:r>
        <w:rPr>
          <w:rFonts w:hint="default" w:ascii="Times New Roman" w:hAnsi="Times New Roman" w:eastAsia="微软雅黑" w:cs="Times New Roman"/>
          <w:b/>
          <w:color w:val="1A1A1A"/>
          <w:sz w:val="22"/>
        </w:rPr>
        <w:t>— Significantly Enhanced Scientific and Technological Innovation Capability</w:t>
      </w:r>
    </w:p>
    <w:p w14:paraId="4ADE0BF8">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The supply of source innovation shall be markedly improved, a number of disruptive technologies and major original scientific and technological achievements shall be generated, the international influence of scientific and technological innovation shall be notably enhanced, and several key fields shall rank among the world's leaders. By 2027, 2 research institutes oriented toward future industries shall be established, approximately 10 provincial-level or above scientific and technological innovation and public service platforms shall be added, and more than 20 landmark future industry products shall be developed. By 2030, approximately 6 research institutes oriented toward future industries shall be established, approximately 30 provincial-level or above scientific and technological innovation and public service platforms shall be added, and more than 50 landmark future industry products shall be developed.</w:t>
      </w:r>
    </w:p>
    <w:p w14:paraId="3DFE6A5D">
      <w:pPr>
        <w:keepNext/>
        <w:spacing w:before="200" w:after="80"/>
        <w:rPr>
          <w:rFonts w:hint="default" w:ascii="Times New Roman" w:hAnsi="Times New Roman" w:cs="Times New Roman"/>
        </w:rPr>
      </w:pPr>
      <w:r>
        <w:rPr>
          <w:rFonts w:hint="default" w:ascii="Times New Roman" w:hAnsi="Times New Roman" w:eastAsia="微软雅黑" w:cs="Times New Roman"/>
          <w:b/>
          <w:color w:val="1A1A1A"/>
          <w:sz w:val="22"/>
        </w:rPr>
        <w:t>— Accelerated Vitality of Innovation Entities</w:t>
      </w:r>
    </w:p>
    <w:p w14:paraId="6ACB6077">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A tiered, structurally sound enterprise cultivation system for future industries shall be promoted, incubation carriers for future industries shall be established, and integrated development among large, medium, and small enterprises shall be fostered. By 2027, 1–2 leading enterprises with ecosystem dominance and approximately 50 high-tech enterprises shall be cultivated. By 2030, more than 3 first-class enterprises with ecosystem dominance and industrial chain control as well as approximately 150 high-tech enterprises shall be cultivated.</w:t>
      </w:r>
    </w:p>
    <w:p w14:paraId="3619A653">
      <w:pPr>
        <w:keepNext/>
        <w:spacing w:before="200" w:after="80"/>
        <w:rPr>
          <w:rFonts w:hint="default" w:ascii="Times New Roman" w:hAnsi="Times New Roman" w:cs="Times New Roman"/>
        </w:rPr>
      </w:pPr>
      <w:r>
        <w:rPr>
          <w:rFonts w:hint="default" w:ascii="Times New Roman" w:hAnsi="Times New Roman" w:eastAsia="微软雅黑" w:cs="Times New Roman"/>
          <w:b/>
          <w:color w:val="1A1A1A"/>
          <w:sz w:val="22"/>
        </w:rPr>
        <w:t>— Increasingly Enhanced Industrial Competitiveness</w:t>
      </w:r>
    </w:p>
    <w:p w14:paraId="6F2E7364">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Focusing on advantageous fields of future industries, we shall accelerate the industrialization of scientific and technological achievements and promote concept verification, application iteration, and market expansion. By 2027, 3 future industry science and technology parks and more than 3 provincial-level future industry pilot zones shall be planned and built, breakthroughs in national-level future industry pilot zones shall be achieved, and the scale of future industries shall strive to exceed RMB 100 billion. By 2030, 5 future industry science and technology parks and 10 provincial-level future industry pilot zones shall be planned and built, the scale of future industries shall strive to reach RMB 200 billion, a future industry cluster of RMB 80 billion in the low-altitude economy shall be built, and 2 future industry clusters of RMB 30 billion each in general artificial intelligence and low-carbon energy shall be established.</w:t>
      </w:r>
    </w:p>
    <w:p w14:paraId="2F3F30E4">
      <w:pPr>
        <w:keepNext/>
        <w:spacing w:before="200" w:after="80"/>
        <w:rPr>
          <w:rFonts w:hint="default" w:ascii="Times New Roman" w:hAnsi="Times New Roman" w:cs="Times New Roman"/>
        </w:rPr>
      </w:pPr>
      <w:r>
        <w:rPr>
          <w:rFonts w:hint="default" w:ascii="Times New Roman" w:hAnsi="Times New Roman" w:eastAsia="微软雅黑" w:cs="Times New Roman"/>
          <w:b/>
          <w:color w:val="1A1A1A"/>
          <w:sz w:val="22"/>
        </w:rPr>
        <w:t>— Further Optimized Development Ecosystem</w:t>
      </w:r>
    </w:p>
    <w:p w14:paraId="100495F0">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A scenario innovation mechanism for future industries with clear priorities and coordinated linkages shall be basically formed; new technologies, new business formats, and new models shall rapidly emerge; and the financial service system and regulatory service system shall be gradually improved. By 2027, 20 benchmark application scenarios and commercial solutions for future industries, 20 future scenario laboratories, and 2 future scenario pilot zones shall be developed. By 2030, approximately 40 benchmark application scenarios and commercial solutions for future industries, approximately 40 provincial-level future scenario laboratories, and 5 future scenario pilot zones shall be developed.</w:t>
      </w:r>
    </w:p>
    <w:p w14:paraId="3887415E">
      <w:pPr>
        <w:keepNext/>
        <w:keepLines/>
        <w:spacing w:before="360" w:after="160"/>
        <w:rPr>
          <w:rFonts w:hint="default" w:ascii="Times New Roman" w:hAnsi="Times New Roman" w:cs="Times New Roman"/>
        </w:rPr>
      </w:pPr>
      <w:r>
        <w:rPr>
          <w:rFonts w:hint="default" w:ascii="Times New Roman" w:hAnsi="Times New Roman" w:eastAsia="微软雅黑" w:cs="Times New Roman"/>
          <w:b/>
          <w:color w:val="2C5282"/>
          <w:sz w:val="28"/>
        </w:rPr>
        <w:t>III. Development Directions</w:t>
      </w:r>
    </w:p>
    <w:p w14:paraId="32148FA8">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Facing the global frontiers of science, technology, and industry, grasping the development patterns of future industries, and building upon Wuhu's existing industrial foundation, we shall target five priority fields of future industries and establish a citywide future industry cultivation system.</w:t>
      </w:r>
    </w:p>
    <w:p w14:paraId="1AA87823">
      <w:pPr>
        <w:spacing w:before="200" w:after="120"/>
        <w:rPr>
          <w:rFonts w:hint="default" w:ascii="Times New Roman" w:hAnsi="Times New Roman" w:cs="Times New Roman"/>
        </w:rPr>
      </w:pPr>
      <w:r>
        <w:rPr>
          <w:rFonts w:hint="default" w:ascii="Times New Roman" w:hAnsi="Times New Roman" w:eastAsia="微软雅黑" w:cs="Times New Roman"/>
          <w:b/>
          <w:color w:val="1A1A1A"/>
          <w:sz w:val="22"/>
        </w:rPr>
        <w:t>Special Column 1: Citywide Future Industry Layout</w:t>
      </w:r>
    </w:p>
    <w:tbl>
      <w:tblPr>
        <w:tblStyle w:val="4"/>
        <w:tblW w:w="5000" w:type="pct"/>
        <w:tblInd w:w="0" w:type="dxa"/>
        <w:tblBorders>
          <w:top w:val="single" w:color="2C5282" w:sz="8" w:space="0"/>
          <w:left w:val="single" w:color="CCCCCC" w:sz="4" w:space="0"/>
          <w:bottom w:val="single" w:color="2C5282" w:sz="8" w:space="0"/>
          <w:right w:val="single" w:color="CCCCCC" w:sz="4" w:space="0"/>
          <w:insideH w:val="single" w:color="CCCCCC" w:sz="4" w:space="0"/>
          <w:insideV w:val="single" w:color="CCCCCC" w:sz="4" w:space="0"/>
        </w:tblBorders>
        <w:tblLayout w:type="autofit"/>
        <w:tblCellMar>
          <w:top w:w="0" w:type="dxa"/>
          <w:left w:w="10" w:type="dxa"/>
          <w:bottom w:w="0" w:type="dxa"/>
          <w:right w:w="10" w:type="dxa"/>
        </w:tblCellMar>
      </w:tblPr>
      <w:tblGrid>
        <w:gridCol w:w="2068"/>
        <w:gridCol w:w="6978"/>
      </w:tblGrid>
      <w:tr w14:paraId="59B67710">
        <w:tblPrEx>
          <w:tblBorders>
            <w:top w:val="single" w:color="2C5282" w:sz="8" w:space="0"/>
            <w:left w:val="single" w:color="CCCCCC" w:sz="4" w:space="0"/>
            <w:bottom w:val="single" w:color="2C5282" w:sz="8" w:space="0"/>
            <w:right w:val="single" w:color="CCCCCC" w:sz="4" w:space="0"/>
            <w:insideH w:val="single" w:color="CCCCCC" w:sz="4" w:space="0"/>
            <w:insideV w:val="single" w:color="CCCCCC" w:sz="4" w:space="0"/>
          </w:tblBorders>
          <w:tblCellMar>
            <w:top w:w="0" w:type="dxa"/>
            <w:left w:w="10" w:type="dxa"/>
            <w:bottom w:w="0" w:type="dxa"/>
            <w:right w:w="10" w:type="dxa"/>
          </w:tblCellMar>
        </w:tblPrEx>
        <w:trPr>
          <w:tblHeader/>
        </w:trPr>
        <w:tc>
          <w:tcPr>
            <w:tcW w:w="2200" w:type="dxa"/>
            <w:shd w:val="clear" w:color="auto" w:fill="F0F4F8"/>
          </w:tcPr>
          <w:p w14:paraId="2F17C9A4">
            <w:pPr>
              <w:spacing w:before="60" w:after="60"/>
              <w:jc w:val="center"/>
              <w:rPr>
                <w:rFonts w:hint="default" w:ascii="Times New Roman" w:hAnsi="Times New Roman" w:cs="Times New Roman"/>
              </w:rPr>
            </w:pPr>
            <w:r>
              <w:rPr>
                <w:rFonts w:hint="default" w:ascii="Times New Roman" w:hAnsi="Times New Roman" w:eastAsia="微软雅黑" w:cs="Times New Roman"/>
                <w:b/>
                <w:color w:val="1A1A1A"/>
                <w:sz w:val="20"/>
              </w:rPr>
              <w:t>Industry Field</w:t>
            </w:r>
          </w:p>
        </w:tc>
        <w:tc>
          <w:tcPr>
            <w:tcW w:w="7800" w:type="dxa"/>
            <w:shd w:val="clear" w:color="auto" w:fill="F0F4F8"/>
          </w:tcPr>
          <w:p w14:paraId="34B0117B">
            <w:pPr>
              <w:spacing w:before="60" w:after="60" w:line="280" w:lineRule="auto"/>
              <w:jc w:val="both"/>
              <w:rPr>
                <w:rFonts w:hint="default" w:ascii="Times New Roman" w:hAnsi="Times New Roman" w:cs="Times New Roman"/>
              </w:rPr>
            </w:pPr>
            <w:r>
              <w:rPr>
                <w:rFonts w:hint="default" w:ascii="Times New Roman" w:hAnsi="Times New Roman" w:eastAsia="微软雅黑" w:cs="Times New Roman"/>
                <w:b/>
                <w:color w:val="1A1A1A"/>
                <w:sz w:val="20"/>
              </w:rPr>
              <w:t>Development Priorities</w:t>
            </w:r>
          </w:p>
        </w:tc>
      </w:tr>
      <w:tr w14:paraId="1C1A603D">
        <w:tblPrEx>
          <w:tblBorders>
            <w:top w:val="single" w:color="2C5282" w:sz="8" w:space="0"/>
            <w:left w:val="single" w:color="CCCCCC" w:sz="4" w:space="0"/>
            <w:bottom w:val="single" w:color="2C5282" w:sz="8" w:space="0"/>
            <w:right w:val="single" w:color="CCCCCC" w:sz="4" w:space="0"/>
            <w:insideH w:val="single" w:color="CCCCCC" w:sz="4" w:space="0"/>
            <w:insideV w:val="single" w:color="CCCCCC" w:sz="4" w:space="0"/>
          </w:tblBorders>
          <w:tblCellMar>
            <w:top w:w="0" w:type="dxa"/>
            <w:left w:w="10" w:type="dxa"/>
            <w:bottom w:w="0" w:type="dxa"/>
            <w:right w:w="10" w:type="dxa"/>
          </w:tblCellMar>
        </w:tblPrEx>
        <w:tc>
          <w:tcPr>
            <w:tcW w:w="2200" w:type="dxa"/>
            <w:shd w:val="clear" w:color="auto" w:fill="FFFFFF"/>
          </w:tcPr>
          <w:p w14:paraId="1F3B88B8">
            <w:pPr>
              <w:spacing w:before="60" w:after="60"/>
              <w:jc w:val="center"/>
              <w:rPr>
                <w:rFonts w:hint="default" w:ascii="Times New Roman" w:hAnsi="Times New Roman" w:cs="Times New Roman"/>
              </w:rPr>
            </w:pPr>
            <w:r>
              <w:rPr>
                <w:rFonts w:hint="default" w:ascii="Times New Roman" w:hAnsi="Times New Roman" w:eastAsia="微软雅黑" w:cs="Times New Roman"/>
                <w:color w:val="1A1A1A"/>
                <w:sz w:val="20"/>
              </w:rPr>
              <w:t>Future Manufacturing</w:t>
            </w:r>
          </w:p>
        </w:tc>
        <w:tc>
          <w:tcPr>
            <w:tcW w:w="7800" w:type="dxa"/>
            <w:shd w:val="clear" w:color="auto" w:fill="FFFFFF"/>
          </w:tcPr>
          <w:p w14:paraId="7FE353CE">
            <w:pPr>
              <w:spacing w:before="60" w:after="60" w:line="280" w:lineRule="auto"/>
              <w:jc w:val="both"/>
              <w:rPr>
                <w:rFonts w:hint="default" w:ascii="Times New Roman" w:hAnsi="Times New Roman" w:cs="Times New Roman"/>
              </w:rPr>
            </w:pPr>
            <w:r>
              <w:rPr>
                <w:rFonts w:hint="default" w:ascii="Times New Roman" w:hAnsi="Times New Roman" w:eastAsia="微软雅黑" w:cs="Times New Roman"/>
                <w:color w:val="1A1A1A"/>
                <w:sz w:val="20"/>
              </w:rPr>
              <w:t>Focusing on smart manufacturing, laser manufacturing, and other areas, with priority development in sub-sectors including the low-altitude economy, humanoid robots and intelligent robots, intelligent sensors, green ships, rail transit equipment, and additive manufacturing equipment. We shall make breakthroughs in key common technologies such as intelligent control, intelligent sensing, and simulation, enhance R&amp;D and manufacturing capabilities for key core components, and promote scenario innovation and openness in the low-altitude economy, humanoid robots, and other fields. We shall accelerate the construction of provincial-level future industry pilot zones for the low-altitude economy and for humanoid and intelligent robots.</w:t>
            </w:r>
          </w:p>
        </w:tc>
      </w:tr>
      <w:tr w14:paraId="0A27E306">
        <w:tblPrEx>
          <w:tblBorders>
            <w:top w:val="single" w:color="2C5282" w:sz="8" w:space="0"/>
            <w:left w:val="single" w:color="CCCCCC" w:sz="4" w:space="0"/>
            <w:bottom w:val="single" w:color="2C5282" w:sz="8" w:space="0"/>
            <w:right w:val="single" w:color="CCCCCC" w:sz="4" w:space="0"/>
            <w:insideH w:val="single" w:color="CCCCCC" w:sz="4" w:space="0"/>
            <w:insideV w:val="single" w:color="CCCCCC" w:sz="4" w:space="0"/>
          </w:tblBorders>
          <w:tblCellMar>
            <w:top w:w="0" w:type="dxa"/>
            <w:left w:w="10" w:type="dxa"/>
            <w:bottom w:w="0" w:type="dxa"/>
            <w:right w:w="10" w:type="dxa"/>
          </w:tblCellMar>
        </w:tblPrEx>
        <w:tc>
          <w:tcPr>
            <w:tcW w:w="2200" w:type="dxa"/>
            <w:shd w:val="clear" w:color="auto" w:fill="FFFFFF"/>
          </w:tcPr>
          <w:p w14:paraId="02D487C1">
            <w:pPr>
              <w:spacing w:before="60" w:after="60"/>
              <w:jc w:val="center"/>
              <w:rPr>
                <w:rFonts w:hint="default" w:ascii="Times New Roman" w:hAnsi="Times New Roman" w:cs="Times New Roman"/>
              </w:rPr>
            </w:pPr>
            <w:r>
              <w:rPr>
                <w:rFonts w:hint="default" w:ascii="Times New Roman" w:hAnsi="Times New Roman" w:eastAsia="微软雅黑" w:cs="Times New Roman"/>
                <w:color w:val="1A1A1A"/>
                <w:sz w:val="20"/>
              </w:rPr>
              <w:t>Future Energy</w:t>
            </w:r>
          </w:p>
        </w:tc>
        <w:tc>
          <w:tcPr>
            <w:tcW w:w="7800" w:type="dxa"/>
            <w:shd w:val="clear" w:color="auto" w:fill="FFFFFF"/>
          </w:tcPr>
          <w:p w14:paraId="1B400897">
            <w:pPr>
              <w:spacing w:before="60" w:after="60" w:line="280" w:lineRule="auto"/>
              <w:jc w:val="both"/>
              <w:rPr>
                <w:rFonts w:hint="default" w:ascii="Times New Roman" w:hAnsi="Times New Roman" w:cs="Times New Roman"/>
              </w:rPr>
            </w:pPr>
            <w:r>
              <w:rPr>
                <w:rFonts w:hint="default" w:ascii="Times New Roman" w:hAnsi="Times New Roman" w:eastAsia="微软雅黑" w:cs="Times New Roman"/>
                <w:color w:val="1A1A1A"/>
                <w:sz w:val="20"/>
              </w:rPr>
              <w:t>Leveraging the city's advantages in technological innovation, equipment manufacturing, and scenario resources in the automotive, cement, and other sectors, we shall focus on developing hydrogen energy, new energy storage, and biomass energy. We shall make breakthroughs in key core technologies such as new high-efficiency solar cells, solid-state batteries, hydrogen production, storage and transportation, fuel cells and key components, and carbon capture, utilization, and storage (CCUS). We shall actively participate in the research on advanced nuclear energy technologies such as controlled nuclear fusion. We shall accelerate the construction of a hydrogen energy provincial-level future industry pilot zone.</w:t>
            </w:r>
          </w:p>
        </w:tc>
      </w:tr>
      <w:tr w14:paraId="5DF8572C">
        <w:tblPrEx>
          <w:tblBorders>
            <w:top w:val="single" w:color="2C5282" w:sz="8" w:space="0"/>
            <w:left w:val="single" w:color="CCCCCC" w:sz="4" w:space="0"/>
            <w:bottom w:val="single" w:color="2C5282" w:sz="8" w:space="0"/>
            <w:right w:val="single" w:color="CCCCCC" w:sz="4" w:space="0"/>
            <w:insideH w:val="single" w:color="CCCCCC" w:sz="4" w:space="0"/>
            <w:insideV w:val="single" w:color="CCCCCC" w:sz="4" w:space="0"/>
          </w:tblBorders>
          <w:tblCellMar>
            <w:top w:w="0" w:type="dxa"/>
            <w:left w:w="10" w:type="dxa"/>
            <w:bottom w:w="0" w:type="dxa"/>
            <w:right w:w="10" w:type="dxa"/>
          </w:tblCellMar>
        </w:tblPrEx>
        <w:tc>
          <w:tcPr>
            <w:tcW w:w="2200" w:type="dxa"/>
            <w:shd w:val="clear" w:color="auto" w:fill="FFFFFF"/>
          </w:tcPr>
          <w:p w14:paraId="62726397">
            <w:pPr>
              <w:spacing w:before="60" w:after="60"/>
              <w:jc w:val="center"/>
              <w:rPr>
                <w:rFonts w:hint="default" w:ascii="Times New Roman" w:hAnsi="Times New Roman" w:cs="Times New Roman"/>
              </w:rPr>
            </w:pPr>
            <w:r>
              <w:rPr>
                <w:rFonts w:hint="default" w:ascii="Times New Roman" w:hAnsi="Times New Roman" w:eastAsia="微软雅黑" w:cs="Times New Roman"/>
                <w:color w:val="1A1A1A"/>
                <w:sz w:val="20"/>
              </w:rPr>
              <w:t>Future Information</w:t>
            </w:r>
          </w:p>
        </w:tc>
        <w:tc>
          <w:tcPr>
            <w:tcW w:w="7800" w:type="dxa"/>
            <w:shd w:val="clear" w:color="auto" w:fill="FFFFFF"/>
          </w:tcPr>
          <w:p w14:paraId="06AEDF8D">
            <w:pPr>
              <w:spacing w:before="60" w:after="60" w:line="280" w:lineRule="auto"/>
              <w:jc w:val="both"/>
              <w:rPr>
                <w:rFonts w:hint="default" w:ascii="Times New Roman" w:hAnsi="Times New Roman" w:cs="Times New Roman"/>
              </w:rPr>
            </w:pPr>
            <w:r>
              <w:rPr>
                <w:rFonts w:hint="default" w:ascii="Times New Roman" w:hAnsi="Times New Roman" w:eastAsia="微软雅黑" w:cs="Times New Roman"/>
                <w:color w:val="1A1A1A"/>
                <w:sz w:val="20"/>
              </w:rPr>
              <w:t>Leveraging the city's advantages in new infrastructure construction, openness in application scenario innovation, and integrated industrial development, we shall focus on developing general artificial intelligence and future networks. Seizing the opportunity of generative AI technology application, we shall systematically deploy large-scale computing power, big data, and large models, and implement initiatives such as "AI + Automotive," "AI + Robotics," "AI + Low-Altitude Economy," "AI + Smart Manufacturing," "AI + Mass Consumption," and "AI + Biomedicine." Focusing on the construction of the Wuhu data center cluster, we shall build a computing network that "bridges east and west" and "connects south and north."</w:t>
            </w:r>
          </w:p>
        </w:tc>
      </w:tr>
      <w:tr w14:paraId="12258381">
        <w:tblPrEx>
          <w:tblBorders>
            <w:top w:val="single" w:color="2C5282" w:sz="8" w:space="0"/>
            <w:left w:val="single" w:color="CCCCCC" w:sz="4" w:space="0"/>
            <w:bottom w:val="single" w:color="2C5282" w:sz="8" w:space="0"/>
            <w:right w:val="single" w:color="CCCCCC" w:sz="4" w:space="0"/>
            <w:insideH w:val="single" w:color="CCCCCC" w:sz="4" w:space="0"/>
            <w:insideV w:val="single" w:color="CCCCCC" w:sz="4" w:space="0"/>
          </w:tblBorders>
          <w:tblCellMar>
            <w:top w:w="0" w:type="dxa"/>
            <w:left w:w="10" w:type="dxa"/>
            <w:bottom w:w="0" w:type="dxa"/>
            <w:right w:w="10" w:type="dxa"/>
          </w:tblCellMar>
        </w:tblPrEx>
        <w:tc>
          <w:tcPr>
            <w:tcW w:w="2200" w:type="dxa"/>
            <w:shd w:val="clear" w:color="auto" w:fill="FFFFFF"/>
          </w:tcPr>
          <w:p w14:paraId="469B2CC6">
            <w:pPr>
              <w:spacing w:before="60" w:after="60"/>
              <w:jc w:val="center"/>
              <w:rPr>
                <w:rFonts w:hint="default" w:ascii="Times New Roman" w:hAnsi="Times New Roman" w:cs="Times New Roman"/>
              </w:rPr>
            </w:pPr>
            <w:r>
              <w:rPr>
                <w:rFonts w:hint="default" w:ascii="Times New Roman" w:hAnsi="Times New Roman" w:eastAsia="微软雅黑" w:cs="Times New Roman"/>
                <w:color w:val="1A1A1A"/>
                <w:sz w:val="20"/>
              </w:rPr>
              <w:t>Future Health</w:t>
            </w:r>
          </w:p>
        </w:tc>
        <w:tc>
          <w:tcPr>
            <w:tcW w:w="7800" w:type="dxa"/>
            <w:shd w:val="clear" w:color="auto" w:fill="FFFFFF"/>
          </w:tcPr>
          <w:p w14:paraId="5AF34AE5">
            <w:pPr>
              <w:spacing w:before="60" w:after="60" w:line="280" w:lineRule="auto"/>
              <w:jc w:val="both"/>
              <w:rPr>
                <w:rFonts w:hint="default" w:ascii="Times New Roman" w:hAnsi="Times New Roman" w:cs="Times New Roman"/>
              </w:rPr>
            </w:pPr>
            <w:r>
              <w:rPr>
                <w:rFonts w:hint="default" w:ascii="Times New Roman" w:hAnsi="Times New Roman" w:eastAsia="微软雅黑" w:cs="Times New Roman"/>
                <w:color w:val="1A1A1A"/>
                <w:sz w:val="20"/>
              </w:rPr>
              <w:t>Relying on major projects such as the National Regional Medical Center and the Brain Science Research Institute, we shall focus on developing the brain health field. Centered on directions such as "digital brain healthcare, brain-inspired intelligent robots, new drug R&amp;D for brain diseases, and brain health medical services," we shall focus on the treatment and rehabilitation services for neurological and psychiatric diseases, leverage the role of gathering innovation resources and developing application scenarios, attract major projects, build high-level platforms, and promote the transformation of industrial innovation resources.</w:t>
            </w:r>
          </w:p>
        </w:tc>
      </w:tr>
      <w:tr w14:paraId="4AB63437">
        <w:tblPrEx>
          <w:tblBorders>
            <w:top w:val="single" w:color="2C5282" w:sz="8" w:space="0"/>
            <w:left w:val="single" w:color="CCCCCC" w:sz="4" w:space="0"/>
            <w:bottom w:val="single" w:color="2C5282" w:sz="8" w:space="0"/>
            <w:right w:val="single" w:color="CCCCCC" w:sz="4" w:space="0"/>
            <w:insideH w:val="single" w:color="CCCCCC" w:sz="4" w:space="0"/>
            <w:insideV w:val="single" w:color="CCCCCC" w:sz="4" w:space="0"/>
          </w:tblBorders>
          <w:tblCellMar>
            <w:top w:w="0" w:type="dxa"/>
            <w:left w:w="10" w:type="dxa"/>
            <w:bottom w:w="0" w:type="dxa"/>
            <w:right w:w="10" w:type="dxa"/>
          </w:tblCellMar>
        </w:tblPrEx>
        <w:tc>
          <w:tcPr>
            <w:tcW w:w="2200" w:type="dxa"/>
            <w:shd w:val="clear" w:color="auto" w:fill="FFFFFF"/>
          </w:tcPr>
          <w:p w14:paraId="3F35AF58">
            <w:pPr>
              <w:spacing w:before="60" w:after="60"/>
              <w:jc w:val="center"/>
              <w:rPr>
                <w:rFonts w:hint="default" w:ascii="Times New Roman" w:hAnsi="Times New Roman" w:cs="Times New Roman"/>
              </w:rPr>
            </w:pPr>
            <w:r>
              <w:rPr>
                <w:rFonts w:hint="default" w:ascii="Times New Roman" w:hAnsi="Times New Roman" w:eastAsia="微软雅黑" w:cs="Times New Roman"/>
                <w:color w:val="1A1A1A"/>
                <w:sz w:val="20"/>
              </w:rPr>
              <w:t>Future Materials</w:t>
            </w:r>
          </w:p>
        </w:tc>
        <w:tc>
          <w:tcPr>
            <w:tcW w:w="7800" w:type="dxa"/>
            <w:shd w:val="clear" w:color="auto" w:fill="FFFFFF"/>
          </w:tcPr>
          <w:p w14:paraId="4AEDD111">
            <w:pPr>
              <w:spacing w:before="60" w:after="60" w:line="280" w:lineRule="auto"/>
              <w:jc w:val="both"/>
              <w:rPr>
                <w:rFonts w:hint="default" w:ascii="Times New Roman" w:hAnsi="Times New Roman" w:cs="Times New Roman"/>
              </w:rPr>
            </w:pPr>
            <w:r>
              <w:rPr>
                <w:rFonts w:hint="default" w:ascii="Times New Roman" w:hAnsi="Times New Roman" w:eastAsia="微软雅黑" w:cs="Times New Roman"/>
                <w:color w:val="1A1A1A"/>
                <w:sz w:val="20"/>
              </w:rPr>
              <w:t>We shall focus on developing third-generation semiconductors, synthetic biology, and other fields. Centered on wide-bandgap third-generation semiconductors represented by silicon carbide (SiC), gallium nitride (GaN), and gallium oxide (Ga2O3), we shall make breakthroughs in key technologies such as single crystal manufacturing, thin-film epitaxy, and advanced manufacturing processes, enhance key capabilities in wafer manufacturing, packaging, and testing, and promote the application of third-generation semiconductors in key fields such as new energy vehicles and new energy. We shall accelerate technological breakthroughs and industrialization in synthetic biology, AI + biopharmaceuticals, biological breeding, and cell and gene technologies, and intensify the recruitment and cultivation of start-up teams and technology enterprises in the synthetic biology field.</w:t>
            </w:r>
          </w:p>
        </w:tc>
      </w:tr>
    </w:tbl>
    <w:p w14:paraId="33ED3D6E">
      <w:pPr>
        <w:keepNext/>
        <w:keepLines/>
        <w:spacing w:before="360" w:after="160"/>
        <w:rPr>
          <w:rFonts w:hint="default" w:ascii="Times New Roman" w:hAnsi="Times New Roman" w:cs="Times New Roman"/>
        </w:rPr>
      </w:pPr>
      <w:r>
        <w:rPr>
          <w:rFonts w:hint="default" w:ascii="Times New Roman" w:hAnsi="Times New Roman" w:eastAsia="微软雅黑" w:cs="Times New Roman"/>
          <w:b/>
          <w:color w:val="2C5282"/>
          <w:sz w:val="28"/>
        </w:rPr>
        <w:t>IV. Key Tasks</w:t>
      </w:r>
    </w:p>
    <w:p w14:paraId="1E5C5ABA">
      <w:pPr>
        <w:keepNext/>
        <w:keepLines/>
        <w:spacing w:before="240" w:after="120"/>
        <w:rPr>
          <w:rFonts w:hint="default" w:ascii="Times New Roman" w:hAnsi="Times New Roman" w:cs="Times New Roman"/>
        </w:rPr>
      </w:pPr>
      <w:r>
        <w:rPr>
          <w:rFonts w:hint="default" w:ascii="Times New Roman" w:hAnsi="Times New Roman" w:eastAsia="微软雅黑" w:cs="Times New Roman"/>
          <w:b/>
          <w:color w:val="1A1A1A"/>
          <w:sz w:val="24"/>
        </w:rPr>
        <w:t>(I) Innovation Sourcing Initiative</w:t>
      </w:r>
    </w:p>
    <w:p w14:paraId="2ADFB1A2">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1. Build an innovation sourcing system.</w:t>
      </w:r>
      <w:r>
        <w:rPr>
          <w:rFonts w:hint="eastAsia" w:ascii="Times New Roman" w:hAnsi="Times New Roman" w:cs="Times New Roman"/>
          <w:b/>
          <w:color w:val="1A1A1A"/>
          <w:sz w:val="22"/>
          <w:lang w:val="en-US" w:eastAsia="zh-CN"/>
        </w:rPr>
        <w:t xml:space="preserve"> </w:t>
      </w:r>
      <w:r>
        <w:rPr>
          <w:rFonts w:hint="default" w:ascii="Times New Roman" w:hAnsi="Times New Roman" w:eastAsia="微软雅黑" w:cs="Times New Roman"/>
          <w:color w:val="1A1A1A"/>
          <w:sz w:val="22"/>
        </w:rPr>
        <w:t>With the development of the "Jiuzi Science and Technology Innovation Bay" as the overarching focus, we shall integrate into the development of high-level innovation platforms such as the "USTC Silicon Valley," the Hefei Comprehensive National Science Center, and the Anhui Open Automotive Ecology Laboratory; accelerate the construction of the Anhui (Wuhu) Institute for Advanced Studies and the National Regional Medical Center; and build a science and innovation system comprising science and innovation parks, high-level research institutions, and frontier cross-disciplinary platforms, to organize and implement future industry disruptive and frontier technology research projects. We shall support the creation of provincial-level or above scientific and technological innovation platforms such as future industry technology innovation centers, industrial innovation centers, manufacturing innovation centers, and industrial innovation research institutes, and establish a platform performance evaluation system aligned with the development needs of future industries.</w:t>
      </w:r>
    </w:p>
    <w:p w14:paraId="6DFF1FCF">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2. Innovate scientific research organization models.</w:t>
      </w:r>
      <w:r>
        <w:rPr>
          <w:rFonts w:hint="eastAsia" w:ascii="Times New Roman" w:hAnsi="Times New Roman" w:cs="Times New Roman"/>
          <w:b/>
          <w:color w:val="1A1A1A"/>
          <w:sz w:val="22"/>
          <w:lang w:val="en-US" w:eastAsia="zh-CN"/>
        </w:rPr>
        <w:t xml:space="preserve"> </w:t>
      </w:r>
      <w:r>
        <w:rPr>
          <w:rFonts w:hint="default" w:ascii="Times New Roman" w:hAnsi="Times New Roman" w:eastAsia="微软雅黑" w:cs="Times New Roman"/>
          <w:color w:val="1A1A1A"/>
          <w:sz w:val="22"/>
        </w:rPr>
        <w:t>Targeting the development directions of future industries, we shall publish frontier technology research directories, establish dynamic lists of future technologies, conduct strategic and reserve technology R&amp;D and project research for future industries, and accelerate breakthroughs in a number of original scientific and technological achievements and frontier technologies. We shall guide future industry enterprises to form close-knit innovation consortia with universities and research institutes, build market-oriented R&amp;D chains, and strengthen the precise supply of future industry products and services.</w:t>
      </w:r>
    </w:p>
    <w:p w14:paraId="5DB1B81D">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3. Accelerate the transfer and transformation of achievements.</w:t>
      </w:r>
      <w:r>
        <w:rPr>
          <w:rFonts w:hint="eastAsia" w:ascii="Times New Roman" w:hAnsi="Times New Roman" w:cs="Times New Roman"/>
          <w:b/>
          <w:color w:val="1A1A1A"/>
          <w:sz w:val="22"/>
          <w:lang w:val="en-US" w:eastAsia="zh-CN"/>
        </w:rPr>
        <w:t xml:space="preserve"> </w:t>
      </w:r>
      <w:r>
        <w:rPr>
          <w:rFonts w:hint="default" w:ascii="Times New Roman" w:hAnsi="Times New Roman" w:eastAsia="微软雅黑" w:cs="Times New Roman"/>
          <w:color w:val="1A1A1A"/>
          <w:sz w:val="22"/>
        </w:rPr>
        <w:t>We shall guide future industry enterprises, universities, and research institutes to establish frontier technology verification platforms, and strengthen transformation service capabilities in technology maturation, engineering scale-up, prototype manufacturing, and reliability verification. We shall promote the substantive operation of technology transfer institutions in universities and research institutes to accelerate the transformation of scientific and technological achievements to enterprises and industries. We shall support the construction of future industry concept verification and pilot-scale verification platforms, provide full-process services including technology assessment, innovative product development support, market verification, and business coaching, and accelerate the productization and commercialization process. We shall strengthen cooperation with institutions such as the USTC Business School, USTC Silicon Valley, and the UK Outstanding Young Scientists Association; leverage the intermediary role of platforms such as the Yangtze River Delta G60 Science and Innovation Corridor Wuhu (Shanghai) Industrial Innovation Center and the Anhui Innovation Center; link more domestic and overseas innovation resources; and introduce disruptive and frontier technology innovation achievements in future industries for transformation in Wuhu.</w:t>
      </w:r>
    </w:p>
    <w:p w14:paraId="732F2745">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4. Strengthen scenario empowerment for future industries.</w:t>
      </w:r>
      <w:r>
        <w:rPr>
          <w:rFonts w:hint="eastAsia" w:ascii="Times New Roman" w:hAnsi="Times New Roman" w:cs="Times New Roman"/>
          <w:b/>
          <w:color w:val="1A1A1A"/>
          <w:sz w:val="22"/>
          <w:lang w:val="en-US" w:eastAsia="zh-CN"/>
        </w:rPr>
        <w:t xml:space="preserve"> </w:t>
      </w:r>
      <w:r>
        <w:rPr>
          <w:rFonts w:hint="default" w:ascii="Times New Roman" w:hAnsi="Times New Roman" w:eastAsia="微软雅黑" w:cs="Times New Roman"/>
          <w:color w:val="1A1A1A"/>
          <w:sz w:val="22"/>
        </w:rPr>
        <w:t>Focusing on key fields such as the low-altitude economy, general artificial intelligence, and low-carbon energy, we shall systematically plan, develop, and deploy demonstration application scenarios to provide scenario opportunities for the promotion of new products and services. We shall advance the construction of new infrastructure such as low-altitude intelligent networked systems, urban digital foundations, national work safety emergency rescue digital bases, and civil aircraft takeoff and landing sites; implement a number of future industry scenario application innovation demonstration projects; plan and build a number of future scenario laboratories and future scenario pilot zones; drive the early adoption of future technologies through scenario innovation; and better remove the bottlenecks between scientific research achievements and industrialization.</w:t>
      </w:r>
    </w:p>
    <w:p w14:paraId="39B5ED0B">
      <w:pPr>
        <w:keepNext/>
        <w:keepLines/>
        <w:spacing w:before="240" w:after="120"/>
        <w:rPr>
          <w:rFonts w:hint="default" w:ascii="Times New Roman" w:hAnsi="Times New Roman" w:cs="Times New Roman"/>
        </w:rPr>
      </w:pPr>
      <w:r>
        <w:rPr>
          <w:rFonts w:hint="default" w:ascii="Times New Roman" w:hAnsi="Times New Roman" w:eastAsia="微软雅黑" w:cs="Times New Roman"/>
          <w:b/>
          <w:color w:val="1A1A1A"/>
          <w:sz w:val="24"/>
        </w:rPr>
        <w:t>(II) Enterprise Tiered Cultivation Initiative</w:t>
      </w:r>
    </w:p>
    <w:p w14:paraId="1BE0272F">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5. Create landmark products.</w:t>
      </w:r>
      <w:r>
        <w:rPr>
          <w:rFonts w:hint="eastAsia" w:ascii="Times New Roman" w:hAnsi="Times New Roman" w:cs="Times New Roman"/>
          <w:b/>
          <w:color w:val="1A1A1A"/>
          <w:sz w:val="22"/>
          <w:lang w:val="en-US" w:eastAsia="zh-CN"/>
        </w:rPr>
        <w:t xml:space="preserve"> </w:t>
      </w:r>
      <w:r>
        <w:rPr>
          <w:rFonts w:hint="default" w:ascii="Times New Roman" w:hAnsi="Times New Roman" w:eastAsia="微软雅黑" w:cs="Times New Roman"/>
          <w:color w:val="1A1A1A"/>
          <w:sz w:val="22"/>
        </w:rPr>
        <w:t>We shall guide enterprises to build future factories, establish new product introduction (NPI) mechanisms targeting research, production, and consumer terminals, promote close interaction among enterprise R&amp;D personnel, engineers, and marketing personnel, and drive collaborative innovation in technology R&amp;D, production and manufacturing, and marketing to develop a number of landmark products and services adapted to the general artificial intelligence trend, including intelligent vehicles, humanoid robots, new-energy intelligent aircraft, green ships, flexible displays, smart homes, intelligent diagnosis and treatment, and simulation-based training, thereby creating and leading new demand with high-quality supply. We shall compile a recommended catalog of future industry products and services, encourage future industry enterprises to pursue local matching, and promote the marketization and commercialization of new products and services.</w:t>
      </w:r>
    </w:p>
    <w:p w14:paraId="1882722C">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6. Cultivate tiers of enterprises.</w:t>
      </w:r>
      <w:r>
        <w:rPr>
          <w:rFonts w:hint="eastAsia" w:ascii="Times New Roman" w:hAnsi="Times New Roman" w:cs="Times New Roman"/>
          <w:b/>
          <w:color w:val="1A1A1A"/>
          <w:sz w:val="22"/>
          <w:lang w:val="en-US" w:eastAsia="zh-CN"/>
        </w:rPr>
        <w:t xml:space="preserve"> </w:t>
      </w:r>
      <w:r>
        <w:rPr>
          <w:rFonts w:hint="default" w:ascii="Times New Roman" w:hAnsi="Times New Roman" w:eastAsia="微软雅黑" w:cs="Times New Roman"/>
          <w:color w:val="1A1A1A"/>
          <w:sz w:val="22"/>
        </w:rPr>
        <w:t>Focusing on priority fields of future industries, we shall cultivate a number of backbone enterprises with outstanding innovation capabilities, strong core competitiveness, and significant industry influence. We shall intensify efforts to attract enterprise headquarters, terminal manufacturers, solution providers, and system integrators in future industries, and attract landmark projects in demonstration applications, industrialization, and innovation and public service platforms. We shall cultivate "rising star enterprises" in future industries and support them in strengthening cross-regional and cross-field collaborative coupling among large, medium, and small enterprises through equity investment, resource sharing, factor openness, scenario co-construction, and channel sharing, to cultivate technology-based enterprises and specialized, sophisticated, distinctive, and innovative SMEs.</w:t>
      </w:r>
    </w:p>
    <w:p w14:paraId="26346C8C">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7. Guide the layout of state-owned capital.</w:t>
      </w:r>
      <w:r>
        <w:rPr>
          <w:rFonts w:hint="eastAsia" w:ascii="Times New Roman" w:hAnsi="Times New Roman" w:cs="Times New Roman"/>
          <w:b/>
          <w:color w:val="1A1A1A"/>
          <w:sz w:val="22"/>
          <w:lang w:val="en-US" w:eastAsia="zh-CN"/>
        </w:rPr>
        <w:t xml:space="preserve"> </w:t>
      </w:r>
      <w:r>
        <w:rPr>
          <w:rFonts w:hint="default" w:ascii="Times New Roman" w:hAnsi="Times New Roman" w:eastAsia="微软雅黑" w:cs="Times New Roman"/>
          <w:color w:val="1A1A1A"/>
          <w:sz w:val="22"/>
        </w:rPr>
        <w:t>We shall guide state-owned capital and enterprises to optimize investment directions toward future industry fields, and encourage state-owned capital to participate in future industry construction by integrating high-quality resources through market-oriented approaches. We shall innovate management mechanisms, establish innovative management structures and processes adapted to future industries, and improve decision-making and operational efficiency as well as risk tolerance. We shall establish cooperation and liaison mechanisms with central SOEs and well-known private enterprises, strive for central SOEs to establish regional headquarters and functional headquarters, and support enterprises and institutions to deeply embed themselves in the innovation, industrial, capital, and talent chains of central SOEs.</w:t>
      </w:r>
    </w:p>
    <w:p w14:paraId="076DB886">
      <w:pPr>
        <w:keepNext/>
        <w:keepLines/>
        <w:spacing w:before="240" w:after="120"/>
        <w:rPr>
          <w:rFonts w:hint="default" w:ascii="Times New Roman" w:hAnsi="Times New Roman" w:cs="Times New Roman"/>
        </w:rPr>
      </w:pPr>
      <w:r>
        <w:rPr>
          <w:rFonts w:hint="default" w:ascii="Times New Roman" w:hAnsi="Times New Roman" w:eastAsia="微软雅黑" w:cs="Times New Roman"/>
          <w:b/>
          <w:color w:val="1A1A1A"/>
          <w:sz w:val="24"/>
        </w:rPr>
        <w:t>(III) Industry Pilot and Agglomeration Initiative</w:t>
      </w:r>
    </w:p>
    <w:p w14:paraId="644BBCD9">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8. Cultivate future industry incubation platforms.</w:t>
      </w:r>
      <w:r>
        <w:rPr>
          <w:rFonts w:hint="eastAsia" w:ascii="Times New Roman" w:hAnsi="Times New Roman" w:cs="Times New Roman"/>
          <w:b/>
          <w:color w:val="1A1A1A"/>
          <w:sz w:val="22"/>
          <w:lang w:val="en-US" w:eastAsia="zh-CN"/>
        </w:rPr>
        <w:t xml:space="preserve"> </w:t>
      </w:r>
      <w:r>
        <w:rPr>
          <w:rFonts w:hint="default" w:ascii="Times New Roman" w:hAnsi="Times New Roman" w:eastAsia="微软雅黑" w:cs="Times New Roman"/>
          <w:color w:val="1A1A1A"/>
          <w:sz w:val="22"/>
        </w:rPr>
        <w:t>Relying on the "Jiuzi Science and Technology Innovation Bay" as a carrier, we shall plan and build, to high standards, a number of future industry science and innovation parks with distinctive features, complete functions, and world-class facilities, and professionally undertake future industry team incubation, public service platform construction, and SME cultivation. Focusing on priority fields of future industries, we shall globally recruit "Jiuzi Science and Technology Innovation Bay" development partners; support, in accordance with laws and regulations, well-known universities and research institutes in establishing science and innovation bay branches, science and innovation enterprises, and other future industry research institutions; and build a number of future industry science and technology parks.</w:t>
      </w:r>
    </w:p>
    <w:p w14:paraId="00658420">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9. Build future industry pilot zones.</w:t>
      </w:r>
      <w:r>
        <w:rPr>
          <w:rFonts w:hint="eastAsia" w:ascii="Times New Roman" w:hAnsi="Times New Roman" w:cs="Times New Roman"/>
          <w:b/>
          <w:color w:val="1A1A1A"/>
          <w:sz w:val="22"/>
          <w:lang w:val="en-US" w:eastAsia="zh-CN"/>
        </w:rPr>
        <w:t xml:space="preserve"> </w:t>
      </w:r>
      <w:r>
        <w:rPr>
          <w:rFonts w:hint="default" w:ascii="Times New Roman" w:hAnsi="Times New Roman" w:eastAsia="微软雅黑" w:cs="Times New Roman"/>
          <w:color w:val="1A1A1A"/>
          <w:sz w:val="22"/>
        </w:rPr>
        <w:t>Relying on provincial-level or above development zones or characteristic parks with rich innovation resources, sound foundations in emerging industries, clearly defined future industry directions, and relatively concentrated regional areas, we shall build municipal-level future industry pilot zones, strive to create national and provincial-level future industry pilot zones, promote pilot implementation of future industry technologies, institutional mechanisms, and policies, and build centers for future technology innovation sourcing, testing grounds for innovation achievement transformation, leading areas for future scenario application, and gathering places for future industry development.</w:t>
      </w:r>
    </w:p>
    <w:p w14:paraId="6328B0EC">
      <w:pPr>
        <w:spacing w:before="200" w:after="120"/>
        <w:rPr>
          <w:rFonts w:hint="default" w:ascii="Times New Roman" w:hAnsi="Times New Roman" w:cs="Times New Roman"/>
        </w:rPr>
      </w:pPr>
      <w:r>
        <w:rPr>
          <w:rFonts w:hint="default" w:ascii="Times New Roman" w:hAnsi="Times New Roman" w:eastAsia="微软雅黑" w:cs="Times New Roman"/>
          <w:b/>
          <w:color w:val="1A1A1A"/>
          <w:sz w:val="22"/>
        </w:rPr>
        <w:t>Special Column 2: Citywide Future Industry Pilot Zone Layout</w:t>
      </w:r>
    </w:p>
    <w:tbl>
      <w:tblPr>
        <w:tblStyle w:val="4"/>
        <w:tblW w:w="5000" w:type="pct"/>
        <w:tblInd w:w="0" w:type="dxa"/>
        <w:tblBorders>
          <w:top w:val="single" w:color="2C5282" w:sz="8" w:space="0"/>
          <w:left w:val="single" w:color="CCCCCC" w:sz="4" w:space="0"/>
          <w:bottom w:val="single" w:color="2C5282" w:sz="8" w:space="0"/>
          <w:right w:val="single" w:color="CCCCCC" w:sz="4" w:space="0"/>
          <w:insideH w:val="single" w:color="CCCCCC" w:sz="4" w:space="0"/>
          <w:insideV w:val="single" w:color="CCCCCC" w:sz="4" w:space="0"/>
        </w:tblBorders>
        <w:tblLayout w:type="autofit"/>
        <w:tblCellMar>
          <w:top w:w="0" w:type="dxa"/>
          <w:left w:w="10" w:type="dxa"/>
          <w:bottom w:w="0" w:type="dxa"/>
          <w:right w:w="10" w:type="dxa"/>
        </w:tblCellMar>
      </w:tblPr>
      <w:tblGrid>
        <w:gridCol w:w="2587"/>
        <w:gridCol w:w="6459"/>
      </w:tblGrid>
      <w:tr w14:paraId="31AC921B">
        <w:tblPrEx>
          <w:tblBorders>
            <w:top w:val="single" w:color="2C5282" w:sz="8" w:space="0"/>
            <w:left w:val="single" w:color="CCCCCC" w:sz="4" w:space="0"/>
            <w:bottom w:val="single" w:color="2C5282" w:sz="8" w:space="0"/>
            <w:right w:val="single" w:color="CCCCCC" w:sz="4" w:space="0"/>
            <w:insideH w:val="single" w:color="CCCCCC" w:sz="4" w:space="0"/>
            <w:insideV w:val="single" w:color="CCCCCC" w:sz="4" w:space="0"/>
          </w:tblBorders>
          <w:tblCellMar>
            <w:top w:w="0" w:type="dxa"/>
            <w:left w:w="10" w:type="dxa"/>
            <w:bottom w:w="0" w:type="dxa"/>
            <w:right w:w="10" w:type="dxa"/>
          </w:tblCellMar>
        </w:tblPrEx>
        <w:trPr>
          <w:tblHeader/>
        </w:trPr>
        <w:tc>
          <w:tcPr>
            <w:tcW w:w="2800" w:type="dxa"/>
            <w:shd w:val="clear" w:color="auto" w:fill="F0F4F8"/>
          </w:tcPr>
          <w:p w14:paraId="6453DBC4">
            <w:pPr>
              <w:spacing w:before="60" w:after="60"/>
              <w:jc w:val="center"/>
              <w:rPr>
                <w:rFonts w:hint="default" w:ascii="Times New Roman" w:hAnsi="Times New Roman" w:cs="Times New Roman"/>
              </w:rPr>
            </w:pPr>
            <w:r>
              <w:rPr>
                <w:rFonts w:hint="default" w:ascii="Times New Roman" w:hAnsi="Times New Roman" w:eastAsia="微软雅黑" w:cs="Times New Roman"/>
                <w:b/>
                <w:color w:val="1A1A1A"/>
                <w:sz w:val="20"/>
              </w:rPr>
              <w:t>District / Zone</w:t>
            </w:r>
          </w:p>
        </w:tc>
        <w:tc>
          <w:tcPr>
            <w:tcW w:w="7200" w:type="dxa"/>
            <w:shd w:val="clear" w:color="auto" w:fill="F0F4F8"/>
          </w:tcPr>
          <w:p w14:paraId="2D1DF29C">
            <w:pPr>
              <w:spacing w:before="60" w:after="60" w:line="280" w:lineRule="auto"/>
              <w:jc w:val="both"/>
              <w:rPr>
                <w:rFonts w:hint="default" w:ascii="Times New Roman" w:hAnsi="Times New Roman" w:cs="Times New Roman"/>
              </w:rPr>
            </w:pPr>
            <w:r>
              <w:rPr>
                <w:rFonts w:hint="default" w:ascii="Times New Roman" w:hAnsi="Times New Roman" w:eastAsia="微软雅黑" w:cs="Times New Roman"/>
                <w:b/>
                <w:color w:val="1A1A1A"/>
                <w:sz w:val="20"/>
              </w:rPr>
              <w:t>Description</w:t>
            </w:r>
          </w:p>
        </w:tc>
      </w:tr>
      <w:tr w14:paraId="4EA1EBF5">
        <w:tblPrEx>
          <w:tblBorders>
            <w:top w:val="single" w:color="2C5282" w:sz="8" w:space="0"/>
            <w:left w:val="single" w:color="CCCCCC" w:sz="4" w:space="0"/>
            <w:bottom w:val="single" w:color="2C5282" w:sz="8" w:space="0"/>
            <w:right w:val="single" w:color="CCCCCC" w:sz="4" w:space="0"/>
            <w:insideH w:val="single" w:color="CCCCCC" w:sz="4" w:space="0"/>
            <w:insideV w:val="single" w:color="CCCCCC" w:sz="4" w:space="0"/>
          </w:tblBorders>
          <w:tblCellMar>
            <w:top w:w="0" w:type="dxa"/>
            <w:left w:w="10" w:type="dxa"/>
            <w:bottom w:w="0" w:type="dxa"/>
            <w:right w:w="10" w:type="dxa"/>
          </w:tblCellMar>
        </w:tblPrEx>
        <w:tc>
          <w:tcPr>
            <w:tcW w:w="2800" w:type="dxa"/>
            <w:shd w:val="clear" w:color="auto" w:fill="FFFFFF"/>
          </w:tcPr>
          <w:p w14:paraId="406D065E">
            <w:pPr>
              <w:spacing w:before="60" w:after="60"/>
              <w:jc w:val="center"/>
              <w:rPr>
                <w:rFonts w:hint="default" w:ascii="Times New Roman" w:hAnsi="Times New Roman" w:cs="Times New Roman"/>
              </w:rPr>
            </w:pPr>
            <w:r>
              <w:rPr>
                <w:rFonts w:hint="default" w:ascii="Times New Roman" w:hAnsi="Times New Roman" w:eastAsia="微软雅黑" w:cs="Times New Roman"/>
                <w:color w:val="1A1A1A"/>
                <w:sz w:val="20"/>
              </w:rPr>
              <w:t>Economic and Technological Development Zone</w:t>
            </w:r>
          </w:p>
        </w:tc>
        <w:tc>
          <w:tcPr>
            <w:tcW w:w="7200" w:type="dxa"/>
            <w:shd w:val="clear" w:color="auto" w:fill="FFFFFF"/>
          </w:tcPr>
          <w:p w14:paraId="26414572">
            <w:pPr>
              <w:spacing w:before="60" w:after="60" w:line="280" w:lineRule="auto"/>
              <w:jc w:val="both"/>
              <w:rPr>
                <w:rFonts w:hint="default" w:ascii="Times New Roman" w:hAnsi="Times New Roman" w:cs="Times New Roman"/>
              </w:rPr>
            </w:pPr>
            <w:r>
              <w:rPr>
                <w:rFonts w:hint="default" w:ascii="Times New Roman" w:hAnsi="Times New Roman" w:eastAsia="微软雅黑" w:cs="Times New Roman"/>
                <w:color w:val="1A1A1A"/>
                <w:sz w:val="20"/>
              </w:rPr>
              <w:t>Taking the construction of Fengming Future Science City as an opportunity and the Fengming Lake Future Research and Innovation Center Cluster as the core carrier, we shall focus on fields such as low-carbon energy, general artificial intelligence, advanced materials, life sciences, and advanced equipment manufacturing, with priority development in sub-industries including hydrogen energy, new energy storage, general artificial intelligence, synthetic biology, and intelligent manufacturing equipment. We shall accelerate the construction of a hydrogen energy provincial-level future industry pilot zone and strive to create a national-level future industry pilot zone.</w:t>
            </w:r>
          </w:p>
        </w:tc>
      </w:tr>
      <w:tr w14:paraId="565BBCF0">
        <w:tblPrEx>
          <w:tblBorders>
            <w:top w:val="single" w:color="2C5282" w:sz="8" w:space="0"/>
            <w:left w:val="single" w:color="CCCCCC" w:sz="4" w:space="0"/>
            <w:bottom w:val="single" w:color="2C5282" w:sz="8" w:space="0"/>
            <w:right w:val="single" w:color="CCCCCC" w:sz="4" w:space="0"/>
            <w:insideH w:val="single" w:color="CCCCCC" w:sz="4" w:space="0"/>
            <w:insideV w:val="single" w:color="CCCCCC" w:sz="4" w:space="0"/>
          </w:tblBorders>
          <w:tblCellMar>
            <w:top w:w="0" w:type="dxa"/>
            <w:left w:w="10" w:type="dxa"/>
            <w:bottom w:w="0" w:type="dxa"/>
            <w:right w:w="10" w:type="dxa"/>
          </w:tblCellMar>
        </w:tblPrEx>
        <w:tc>
          <w:tcPr>
            <w:tcW w:w="2800" w:type="dxa"/>
            <w:shd w:val="clear" w:color="auto" w:fill="FFFFFF"/>
          </w:tcPr>
          <w:p w14:paraId="3206B057">
            <w:pPr>
              <w:spacing w:before="60" w:after="60"/>
              <w:jc w:val="center"/>
              <w:rPr>
                <w:rFonts w:hint="default" w:ascii="Times New Roman" w:hAnsi="Times New Roman" w:cs="Times New Roman"/>
              </w:rPr>
            </w:pPr>
            <w:r>
              <w:rPr>
                <w:rFonts w:hint="default" w:ascii="Times New Roman" w:hAnsi="Times New Roman" w:eastAsia="微软雅黑" w:cs="Times New Roman"/>
                <w:color w:val="1A1A1A"/>
                <w:sz w:val="20"/>
              </w:rPr>
              <w:t>Wanjiang Jiangbei Emerging Industry Concentration Zone</w:t>
            </w:r>
          </w:p>
        </w:tc>
        <w:tc>
          <w:tcPr>
            <w:tcW w:w="7200" w:type="dxa"/>
            <w:shd w:val="clear" w:color="auto" w:fill="FFFFFF"/>
          </w:tcPr>
          <w:p w14:paraId="3D7509A9">
            <w:pPr>
              <w:spacing w:before="60" w:after="60" w:line="280" w:lineRule="auto"/>
              <w:jc w:val="both"/>
              <w:rPr>
                <w:rFonts w:hint="default" w:ascii="Times New Roman" w:hAnsi="Times New Roman" w:cs="Times New Roman"/>
              </w:rPr>
            </w:pPr>
            <w:r>
              <w:rPr>
                <w:rFonts w:hint="default" w:ascii="Times New Roman" w:hAnsi="Times New Roman" w:eastAsia="微软雅黑" w:cs="Times New Roman"/>
                <w:color w:val="1A1A1A"/>
                <w:sz w:val="20"/>
              </w:rPr>
              <w:t>With "Zhonghua Digital Island" and the Wuhu Intelligent Computing Economy Industrial Park as the core carriers, and centering on industries such as future networks and general artificial intelligence, we shall focus on fields including computing networks, next-generation network communications, and artificial intelligence large models, accelerate the development of sub-industries such as general large models, industry-specific large models, and intelligent computing center services, and strive to create a computing network provincial-level future industry pilot zone.</w:t>
            </w:r>
          </w:p>
        </w:tc>
      </w:tr>
      <w:tr w14:paraId="6DF1A151">
        <w:tblPrEx>
          <w:tblBorders>
            <w:top w:val="single" w:color="2C5282" w:sz="8" w:space="0"/>
            <w:left w:val="single" w:color="CCCCCC" w:sz="4" w:space="0"/>
            <w:bottom w:val="single" w:color="2C5282" w:sz="8" w:space="0"/>
            <w:right w:val="single" w:color="CCCCCC" w:sz="4" w:space="0"/>
            <w:insideH w:val="single" w:color="CCCCCC" w:sz="4" w:space="0"/>
            <w:insideV w:val="single" w:color="CCCCCC" w:sz="4" w:space="0"/>
          </w:tblBorders>
          <w:tblCellMar>
            <w:top w:w="0" w:type="dxa"/>
            <w:left w:w="10" w:type="dxa"/>
            <w:bottom w:w="0" w:type="dxa"/>
            <w:right w:w="10" w:type="dxa"/>
          </w:tblCellMar>
        </w:tblPrEx>
        <w:tc>
          <w:tcPr>
            <w:tcW w:w="2800" w:type="dxa"/>
            <w:shd w:val="clear" w:color="auto" w:fill="FFFFFF"/>
          </w:tcPr>
          <w:p w14:paraId="4DDBC7F4">
            <w:pPr>
              <w:spacing w:before="60" w:after="60"/>
              <w:jc w:val="center"/>
              <w:rPr>
                <w:rFonts w:hint="default" w:ascii="Times New Roman" w:hAnsi="Times New Roman" w:cs="Times New Roman"/>
              </w:rPr>
            </w:pPr>
            <w:r>
              <w:rPr>
                <w:rFonts w:hint="default" w:ascii="Times New Roman" w:hAnsi="Times New Roman" w:eastAsia="微软雅黑" w:cs="Times New Roman"/>
                <w:color w:val="1A1A1A"/>
                <w:sz w:val="20"/>
              </w:rPr>
              <w:t>Sanshan Economic Development Zone</w:t>
            </w:r>
          </w:p>
        </w:tc>
        <w:tc>
          <w:tcPr>
            <w:tcW w:w="7200" w:type="dxa"/>
            <w:shd w:val="clear" w:color="auto" w:fill="FFFFFF"/>
          </w:tcPr>
          <w:p w14:paraId="6063BC0F">
            <w:pPr>
              <w:spacing w:before="60" w:after="60" w:line="280" w:lineRule="auto"/>
              <w:jc w:val="both"/>
              <w:rPr>
                <w:rFonts w:hint="default" w:ascii="Times New Roman" w:hAnsi="Times New Roman" w:cs="Times New Roman"/>
              </w:rPr>
            </w:pPr>
            <w:r>
              <w:rPr>
                <w:rFonts w:hint="default" w:ascii="Times New Roman" w:hAnsi="Times New Roman" w:eastAsia="微软雅黑" w:cs="Times New Roman"/>
                <w:color w:val="1A1A1A"/>
                <w:sz w:val="20"/>
              </w:rPr>
              <w:t>With the Longhu Science and Technology Innovation Industrial Park, Brain Health Industrial Park, and Synthetic Biology Industrial Park as the core carriers, and centering on industries such as life sciences, advanced materials, and advanced equipment manufacturing, we shall focus on fields such as brain health, synthetic biology, and green ships, with priority development in sub-industries including digital brain healthcare, brain-inspired intelligent robots, new drug R&amp;D for brain diseases, brain health medical services, biomanufacturing, and green intelligent shipbuilding. We shall strive to create provincial-level future industry pilot zones for brain health, synthetic biology, and marine engineering equipment.</w:t>
            </w:r>
          </w:p>
        </w:tc>
      </w:tr>
      <w:tr w14:paraId="7641B29F">
        <w:tblPrEx>
          <w:tblBorders>
            <w:top w:val="single" w:color="2C5282" w:sz="8" w:space="0"/>
            <w:left w:val="single" w:color="CCCCCC" w:sz="4" w:space="0"/>
            <w:bottom w:val="single" w:color="2C5282" w:sz="8" w:space="0"/>
            <w:right w:val="single" w:color="CCCCCC" w:sz="4" w:space="0"/>
            <w:insideH w:val="single" w:color="CCCCCC" w:sz="4" w:space="0"/>
            <w:insideV w:val="single" w:color="CCCCCC" w:sz="4" w:space="0"/>
          </w:tblBorders>
          <w:tblCellMar>
            <w:top w:w="0" w:type="dxa"/>
            <w:left w:w="10" w:type="dxa"/>
            <w:bottom w:w="0" w:type="dxa"/>
            <w:right w:w="10" w:type="dxa"/>
          </w:tblCellMar>
        </w:tblPrEx>
        <w:tc>
          <w:tcPr>
            <w:tcW w:w="2800" w:type="dxa"/>
            <w:shd w:val="clear" w:color="auto" w:fill="FFFFFF"/>
          </w:tcPr>
          <w:p w14:paraId="3DC718F8">
            <w:pPr>
              <w:spacing w:before="60" w:after="60"/>
              <w:jc w:val="center"/>
              <w:rPr>
                <w:rFonts w:hint="default" w:ascii="Times New Roman" w:hAnsi="Times New Roman" w:cs="Times New Roman"/>
              </w:rPr>
            </w:pPr>
            <w:r>
              <w:rPr>
                <w:rFonts w:hint="default" w:ascii="Times New Roman" w:hAnsi="Times New Roman" w:eastAsia="微软雅黑" w:cs="Times New Roman"/>
                <w:color w:val="1A1A1A"/>
                <w:sz w:val="20"/>
              </w:rPr>
              <w:t>Wuwei City</w:t>
            </w:r>
          </w:p>
        </w:tc>
        <w:tc>
          <w:tcPr>
            <w:tcW w:w="7200" w:type="dxa"/>
            <w:shd w:val="clear" w:color="auto" w:fill="FFFFFF"/>
          </w:tcPr>
          <w:p w14:paraId="6BAEB8D7">
            <w:pPr>
              <w:spacing w:before="60" w:after="60" w:line="280" w:lineRule="auto"/>
              <w:jc w:val="both"/>
              <w:rPr>
                <w:rFonts w:hint="default" w:ascii="Times New Roman" w:hAnsi="Times New Roman" w:cs="Times New Roman"/>
              </w:rPr>
            </w:pPr>
            <w:r>
              <w:rPr>
                <w:rFonts w:hint="default" w:ascii="Times New Roman" w:hAnsi="Times New Roman" w:eastAsia="微软雅黑" w:cs="Times New Roman"/>
                <w:color w:val="1A1A1A"/>
                <w:sz w:val="20"/>
              </w:rPr>
              <w:t>With the Wuwei Economic Development Zone as the core carrier, we shall focus on industries such as low-carbon energy and life sciences, with priority development in sub-industries including new energy storage, synthetic biology, and biomanufacturing.</w:t>
            </w:r>
          </w:p>
        </w:tc>
      </w:tr>
      <w:tr w14:paraId="20858CEF">
        <w:tblPrEx>
          <w:tblBorders>
            <w:top w:val="single" w:color="2C5282" w:sz="8" w:space="0"/>
            <w:left w:val="single" w:color="CCCCCC" w:sz="4" w:space="0"/>
            <w:bottom w:val="single" w:color="2C5282" w:sz="8" w:space="0"/>
            <w:right w:val="single" w:color="CCCCCC" w:sz="4" w:space="0"/>
            <w:insideH w:val="single" w:color="CCCCCC" w:sz="4" w:space="0"/>
            <w:insideV w:val="single" w:color="CCCCCC" w:sz="4" w:space="0"/>
          </w:tblBorders>
          <w:tblCellMar>
            <w:top w:w="0" w:type="dxa"/>
            <w:left w:w="10" w:type="dxa"/>
            <w:bottom w:w="0" w:type="dxa"/>
            <w:right w:w="10" w:type="dxa"/>
          </w:tblCellMar>
        </w:tblPrEx>
        <w:tc>
          <w:tcPr>
            <w:tcW w:w="2800" w:type="dxa"/>
            <w:shd w:val="clear" w:color="auto" w:fill="FFFFFF"/>
          </w:tcPr>
          <w:p w14:paraId="5AA2CC64">
            <w:pPr>
              <w:spacing w:before="60" w:after="60"/>
              <w:jc w:val="center"/>
              <w:rPr>
                <w:rFonts w:hint="default" w:ascii="Times New Roman" w:hAnsi="Times New Roman" w:cs="Times New Roman"/>
              </w:rPr>
            </w:pPr>
            <w:r>
              <w:rPr>
                <w:rFonts w:hint="default" w:ascii="Times New Roman" w:hAnsi="Times New Roman" w:eastAsia="微软雅黑" w:cs="Times New Roman"/>
                <w:color w:val="1A1A1A"/>
                <w:sz w:val="20"/>
              </w:rPr>
              <w:t>Nanling County</w:t>
            </w:r>
          </w:p>
        </w:tc>
        <w:tc>
          <w:tcPr>
            <w:tcW w:w="7200" w:type="dxa"/>
            <w:shd w:val="clear" w:color="auto" w:fill="FFFFFF"/>
          </w:tcPr>
          <w:p w14:paraId="39381D81">
            <w:pPr>
              <w:spacing w:before="60" w:after="60" w:line="280" w:lineRule="auto"/>
              <w:jc w:val="both"/>
              <w:rPr>
                <w:rFonts w:hint="default" w:ascii="Times New Roman" w:hAnsi="Times New Roman" w:cs="Times New Roman"/>
              </w:rPr>
            </w:pPr>
            <w:r>
              <w:rPr>
                <w:rFonts w:hint="default" w:ascii="Times New Roman" w:hAnsi="Times New Roman" w:eastAsia="微软雅黑" w:cs="Times New Roman"/>
                <w:color w:val="1A1A1A"/>
                <w:sz w:val="20"/>
              </w:rPr>
              <w:t>With the Nanling Economic Development Zone as the core carrier, we shall focus on the advanced equipment manufacturing field, with priority development in sub-industries including intelligent logistics and warehousing equipment and intelligent unmanned systems.</w:t>
            </w:r>
          </w:p>
        </w:tc>
      </w:tr>
      <w:tr w14:paraId="35C900CE">
        <w:tblPrEx>
          <w:tblBorders>
            <w:top w:val="single" w:color="2C5282" w:sz="8" w:space="0"/>
            <w:left w:val="single" w:color="CCCCCC" w:sz="4" w:space="0"/>
            <w:bottom w:val="single" w:color="2C5282" w:sz="8" w:space="0"/>
            <w:right w:val="single" w:color="CCCCCC" w:sz="4" w:space="0"/>
            <w:insideH w:val="single" w:color="CCCCCC" w:sz="4" w:space="0"/>
            <w:insideV w:val="single" w:color="CCCCCC" w:sz="4" w:space="0"/>
          </w:tblBorders>
          <w:tblCellMar>
            <w:top w:w="0" w:type="dxa"/>
            <w:left w:w="10" w:type="dxa"/>
            <w:bottom w:w="0" w:type="dxa"/>
            <w:right w:w="10" w:type="dxa"/>
          </w:tblCellMar>
        </w:tblPrEx>
        <w:tc>
          <w:tcPr>
            <w:tcW w:w="2800" w:type="dxa"/>
            <w:shd w:val="clear" w:color="auto" w:fill="FFFFFF"/>
          </w:tcPr>
          <w:p w14:paraId="22F1F85B">
            <w:pPr>
              <w:spacing w:before="60" w:after="60"/>
              <w:jc w:val="center"/>
              <w:rPr>
                <w:rFonts w:hint="default" w:ascii="Times New Roman" w:hAnsi="Times New Roman" w:cs="Times New Roman"/>
              </w:rPr>
            </w:pPr>
            <w:r>
              <w:rPr>
                <w:rFonts w:hint="default" w:ascii="Times New Roman" w:hAnsi="Times New Roman" w:eastAsia="微软雅黑" w:cs="Times New Roman"/>
                <w:color w:val="1A1A1A"/>
                <w:sz w:val="20"/>
              </w:rPr>
              <w:t>Jinghu District</w:t>
            </w:r>
          </w:p>
        </w:tc>
        <w:tc>
          <w:tcPr>
            <w:tcW w:w="7200" w:type="dxa"/>
            <w:shd w:val="clear" w:color="auto" w:fill="FFFFFF"/>
          </w:tcPr>
          <w:p w14:paraId="4D2EA822">
            <w:pPr>
              <w:spacing w:before="60" w:after="60" w:line="280" w:lineRule="auto"/>
              <w:jc w:val="both"/>
              <w:rPr>
                <w:rFonts w:hint="default" w:ascii="Times New Roman" w:hAnsi="Times New Roman" w:cs="Times New Roman"/>
              </w:rPr>
            </w:pPr>
            <w:r>
              <w:rPr>
                <w:rFonts w:hint="default" w:ascii="Times New Roman" w:hAnsi="Times New Roman" w:eastAsia="微软雅黑" w:cs="Times New Roman"/>
                <w:color w:val="1A1A1A"/>
                <w:sz w:val="20"/>
              </w:rPr>
              <w:t>With the Digital Economy Industrial Park and the Old Shipyard Smart Port as the core carriers, we shall focus on future networks and the metaverse, with priority development in sub-industries including intelligent computing services, virtual reality, and digital twins.</w:t>
            </w:r>
          </w:p>
        </w:tc>
      </w:tr>
      <w:tr w14:paraId="132AFEBD">
        <w:tblPrEx>
          <w:tblBorders>
            <w:top w:val="single" w:color="2C5282" w:sz="8" w:space="0"/>
            <w:left w:val="single" w:color="CCCCCC" w:sz="4" w:space="0"/>
            <w:bottom w:val="single" w:color="2C5282" w:sz="8" w:space="0"/>
            <w:right w:val="single" w:color="CCCCCC" w:sz="4" w:space="0"/>
            <w:insideH w:val="single" w:color="CCCCCC" w:sz="4" w:space="0"/>
            <w:insideV w:val="single" w:color="CCCCCC" w:sz="4" w:space="0"/>
          </w:tblBorders>
          <w:tblCellMar>
            <w:top w:w="0" w:type="dxa"/>
            <w:left w:w="10" w:type="dxa"/>
            <w:bottom w:w="0" w:type="dxa"/>
            <w:right w:w="10" w:type="dxa"/>
          </w:tblCellMar>
        </w:tblPrEx>
        <w:tc>
          <w:tcPr>
            <w:tcW w:w="2800" w:type="dxa"/>
            <w:shd w:val="clear" w:color="auto" w:fill="FFFFFF"/>
          </w:tcPr>
          <w:p w14:paraId="752DA156">
            <w:pPr>
              <w:spacing w:before="60" w:after="60"/>
              <w:jc w:val="center"/>
              <w:rPr>
                <w:rFonts w:hint="default" w:ascii="Times New Roman" w:hAnsi="Times New Roman" w:cs="Times New Roman"/>
              </w:rPr>
            </w:pPr>
            <w:r>
              <w:rPr>
                <w:rFonts w:hint="default" w:ascii="Times New Roman" w:hAnsi="Times New Roman" w:eastAsia="微软雅黑" w:cs="Times New Roman"/>
                <w:color w:val="1A1A1A"/>
                <w:sz w:val="20"/>
              </w:rPr>
              <w:t>Yijiang District</w:t>
            </w:r>
          </w:p>
        </w:tc>
        <w:tc>
          <w:tcPr>
            <w:tcW w:w="7200" w:type="dxa"/>
            <w:shd w:val="clear" w:color="auto" w:fill="FFFFFF"/>
          </w:tcPr>
          <w:p w14:paraId="5BA7960E">
            <w:pPr>
              <w:spacing w:before="60" w:after="60" w:line="280" w:lineRule="auto"/>
              <w:jc w:val="both"/>
              <w:rPr>
                <w:rFonts w:hint="default" w:ascii="Times New Roman" w:hAnsi="Times New Roman" w:cs="Times New Roman"/>
              </w:rPr>
            </w:pPr>
            <w:r>
              <w:rPr>
                <w:rFonts w:hint="default" w:ascii="Times New Roman" w:hAnsi="Times New Roman" w:eastAsia="微软雅黑" w:cs="Times New Roman"/>
                <w:color w:val="1A1A1A"/>
                <w:sz w:val="20"/>
              </w:rPr>
              <w:t>With the Science and Technology Industrial Park and the South Station Science and Technology Park as the core carriers, we shall focus on fields such as third-generation semiconductors and intelligent sensors, with priority development in sub-industries including compound semiconductor materials, devices, modules, and system applications, as well as intelligent sensor R&amp;D, design, and manufacturing. We shall strive to create a third-generation semiconductor provincial-level future industry pilot zone.</w:t>
            </w:r>
          </w:p>
        </w:tc>
      </w:tr>
      <w:tr w14:paraId="5BECB575">
        <w:tblPrEx>
          <w:tblBorders>
            <w:top w:val="single" w:color="2C5282" w:sz="8" w:space="0"/>
            <w:left w:val="single" w:color="CCCCCC" w:sz="4" w:space="0"/>
            <w:bottom w:val="single" w:color="2C5282" w:sz="8" w:space="0"/>
            <w:right w:val="single" w:color="CCCCCC" w:sz="4" w:space="0"/>
            <w:insideH w:val="single" w:color="CCCCCC" w:sz="4" w:space="0"/>
            <w:insideV w:val="single" w:color="CCCCCC" w:sz="4" w:space="0"/>
          </w:tblBorders>
          <w:tblCellMar>
            <w:top w:w="0" w:type="dxa"/>
            <w:left w:w="10" w:type="dxa"/>
            <w:bottom w:w="0" w:type="dxa"/>
            <w:right w:w="10" w:type="dxa"/>
          </w:tblCellMar>
        </w:tblPrEx>
        <w:tc>
          <w:tcPr>
            <w:tcW w:w="2800" w:type="dxa"/>
            <w:shd w:val="clear" w:color="auto" w:fill="FFFFFF"/>
          </w:tcPr>
          <w:p w14:paraId="0DDEC8C9">
            <w:pPr>
              <w:spacing w:before="60" w:after="60"/>
              <w:jc w:val="center"/>
              <w:rPr>
                <w:rFonts w:hint="default" w:ascii="Times New Roman" w:hAnsi="Times New Roman" w:cs="Times New Roman"/>
              </w:rPr>
            </w:pPr>
            <w:r>
              <w:rPr>
                <w:rFonts w:hint="default" w:ascii="Times New Roman" w:hAnsi="Times New Roman" w:eastAsia="微软雅黑" w:cs="Times New Roman"/>
                <w:color w:val="1A1A1A"/>
                <w:sz w:val="20"/>
              </w:rPr>
              <w:t>Jiujiang District</w:t>
            </w:r>
          </w:p>
        </w:tc>
        <w:tc>
          <w:tcPr>
            <w:tcW w:w="7200" w:type="dxa"/>
            <w:shd w:val="clear" w:color="auto" w:fill="FFFFFF"/>
          </w:tcPr>
          <w:p w14:paraId="1C90789E">
            <w:pPr>
              <w:spacing w:before="60" w:after="60" w:line="280" w:lineRule="auto"/>
              <w:jc w:val="both"/>
              <w:rPr>
                <w:rFonts w:hint="default" w:ascii="Times New Roman" w:hAnsi="Times New Roman" w:cs="Times New Roman"/>
              </w:rPr>
            </w:pPr>
            <w:r>
              <w:rPr>
                <w:rFonts w:hint="default" w:ascii="Times New Roman" w:hAnsi="Times New Roman" w:eastAsia="微软雅黑" w:cs="Times New Roman"/>
                <w:color w:val="1A1A1A"/>
                <w:sz w:val="20"/>
              </w:rPr>
              <w:t>With the National Robot Industry Cluster as the core carrier, and centering on the advanced equipment manufacturing field, we shall focus on priority development in sub-industries including humanoid robots, high-end intelligent robots, future intelligent terminals, and intelligent unmanned systems. We shall accelerate the construction of a humanoid robot and intelligent robot provincial-level future industry pilot zone and strive to create a national-level future industry pilot zone.</w:t>
            </w:r>
          </w:p>
        </w:tc>
      </w:tr>
      <w:tr w14:paraId="469A65DF">
        <w:tblPrEx>
          <w:tblBorders>
            <w:top w:val="single" w:color="2C5282" w:sz="8" w:space="0"/>
            <w:left w:val="single" w:color="CCCCCC" w:sz="4" w:space="0"/>
            <w:bottom w:val="single" w:color="2C5282" w:sz="8" w:space="0"/>
            <w:right w:val="single" w:color="CCCCCC" w:sz="4" w:space="0"/>
            <w:insideH w:val="single" w:color="CCCCCC" w:sz="4" w:space="0"/>
            <w:insideV w:val="single" w:color="CCCCCC" w:sz="4" w:space="0"/>
          </w:tblBorders>
          <w:tblCellMar>
            <w:top w:w="0" w:type="dxa"/>
            <w:left w:w="10" w:type="dxa"/>
            <w:bottom w:w="0" w:type="dxa"/>
            <w:right w:w="10" w:type="dxa"/>
          </w:tblCellMar>
        </w:tblPrEx>
        <w:tc>
          <w:tcPr>
            <w:tcW w:w="2800" w:type="dxa"/>
            <w:shd w:val="clear" w:color="auto" w:fill="FFFFFF"/>
          </w:tcPr>
          <w:p w14:paraId="2CCAF9CA">
            <w:pPr>
              <w:spacing w:before="60" w:after="60"/>
              <w:jc w:val="center"/>
              <w:rPr>
                <w:rFonts w:hint="default" w:ascii="Times New Roman" w:hAnsi="Times New Roman" w:cs="Times New Roman"/>
                <w:highlight w:val="none"/>
              </w:rPr>
            </w:pPr>
            <w:bookmarkStart w:id="0" w:name="_GoBack"/>
            <w:r>
              <w:rPr>
                <w:rFonts w:hint="default" w:ascii="Times New Roman" w:hAnsi="Times New Roman" w:eastAsia="微软雅黑" w:cs="Times New Roman"/>
                <w:color w:val="1A1A1A"/>
                <w:sz w:val="20"/>
                <w:highlight w:val="none"/>
              </w:rPr>
              <w:t>Wanzh</w:t>
            </w:r>
            <w:r>
              <w:rPr>
                <w:rFonts w:hint="eastAsia" w:ascii="Times New Roman" w:hAnsi="Times New Roman" w:cs="Times New Roman"/>
                <w:color w:val="1A1A1A"/>
                <w:sz w:val="20"/>
                <w:highlight w:val="none"/>
                <w:lang w:val="en-US" w:eastAsia="zh-CN"/>
              </w:rPr>
              <w:t>i</w:t>
            </w:r>
            <w:r>
              <w:rPr>
                <w:rFonts w:hint="default" w:ascii="Times New Roman" w:hAnsi="Times New Roman" w:eastAsia="微软雅黑" w:cs="Times New Roman"/>
                <w:color w:val="1A1A1A"/>
                <w:sz w:val="20"/>
                <w:highlight w:val="none"/>
              </w:rPr>
              <w:t xml:space="preserve"> District</w:t>
            </w:r>
          </w:p>
        </w:tc>
        <w:tc>
          <w:tcPr>
            <w:tcW w:w="7200" w:type="dxa"/>
            <w:shd w:val="clear" w:color="auto" w:fill="FFFFFF"/>
          </w:tcPr>
          <w:p w14:paraId="05B1126F">
            <w:pPr>
              <w:spacing w:before="60" w:after="60" w:line="280" w:lineRule="auto"/>
              <w:jc w:val="both"/>
              <w:rPr>
                <w:rFonts w:hint="default" w:ascii="Times New Roman" w:hAnsi="Times New Roman" w:cs="Times New Roman"/>
                <w:highlight w:val="none"/>
              </w:rPr>
            </w:pPr>
            <w:r>
              <w:rPr>
                <w:rFonts w:hint="default" w:ascii="Times New Roman" w:hAnsi="Times New Roman" w:eastAsia="微软雅黑" w:cs="Times New Roman"/>
                <w:color w:val="1A1A1A"/>
                <w:sz w:val="20"/>
                <w:highlight w:val="none"/>
              </w:rPr>
              <w:t>With the Wuhu Aviation Industrial Park as the core carrier, and centering on the low-altitude economy, we shall focus on fields such as low-altitude manufacturing, low-altitude flight, low-altitude support, and low-altitude services, with priority development in sub-industries including aviation new materials, unmanned aerial vehicles (UAVs), engines, propellers, general avionics, aviation parts and accessories, airport-related economy, and low-altitude operations. We shall accelerate the construction of a low-altitude economy provincial-level future industry pilot zone and strive to create a national-level future industry pilot zone.</w:t>
            </w:r>
          </w:p>
        </w:tc>
      </w:tr>
      <w:tr w14:paraId="45883CAE">
        <w:tblPrEx>
          <w:tblBorders>
            <w:top w:val="single" w:color="2C5282" w:sz="8" w:space="0"/>
            <w:left w:val="single" w:color="CCCCCC" w:sz="4" w:space="0"/>
            <w:bottom w:val="single" w:color="2C5282" w:sz="8" w:space="0"/>
            <w:right w:val="single" w:color="CCCCCC" w:sz="4" w:space="0"/>
            <w:insideH w:val="single" w:color="CCCCCC" w:sz="4" w:space="0"/>
            <w:insideV w:val="single" w:color="CCCCCC" w:sz="4" w:space="0"/>
          </w:tblBorders>
          <w:tblCellMar>
            <w:top w:w="0" w:type="dxa"/>
            <w:left w:w="10" w:type="dxa"/>
            <w:bottom w:w="0" w:type="dxa"/>
            <w:right w:w="10" w:type="dxa"/>
          </w:tblCellMar>
        </w:tblPrEx>
        <w:tc>
          <w:tcPr>
            <w:tcW w:w="2800" w:type="dxa"/>
            <w:shd w:val="clear" w:color="auto" w:fill="FFFFFF"/>
          </w:tcPr>
          <w:p w14:paraId="051AC529">
            <w:pPr>
              <w:spacing w:before="60" w:after="60"/>
              <w:jc w:val="center"/>
              <w:rPr>
                <w:rFonts w:hint="default" w:ascii="Times New Roman" w:hAnsi="Times New Roman" w:cs="Times New Roman"/>
                <w:highlight w:val="none"/>
              </w:rPr>
            </w:pPr>
            <w:r>
              <w:rPr>
                <w:rFonts w:hint="default" w:ascii="Times New Roman" w:hAnsi="Times New Roman" w:eastAsia="微软雅黑" w:cs="Times New Roman"/>
                <w:color w:val="1A1A1A"/>
                <w:sz w:val="20"/>
                <w:highlight w:val="none"/>
              </w:rPr>
              <w:t>Fanchang District</w:t>
            </w:r>
          </w:p>
        </w:tc>
        <w:tc>
          <w:tcPr>
            <w:tcW w:w="7200" w:type="dxa"/>
            <w:shd w:val="clear" w:color="auto" w:fill="FFFFFF"/>
          </w:tcPr>
          <w:p w14:paraId="7EEBDCCA">
            <w:pPr>
              <w:spacing w:before="60" w:after="60" w:line="280" w:lineRule="auto"/>
              <w:jc w:val="both"/>
              <w:rPr>
                <w:rFonts w:hint="default" w:ascii="Times New Roman" w:hAnsi="Times New Roman" w:cs="Times New Roman"/>
                <w:highlight w:val="none"/>
              </w:rPr>
            </w:pPr>
            <w:r>
              <w:rPr>
                <w:rFonts w:hint="default" w:ascii="Times New Roman" w:hAnsi="Times New Roman" w:eastAsia="微软雅黑" w:cs="Times New Roman"/>
                <w:color w:val="1A1A1A"/>
                <w:sz w:val="20"/>
                <w:highlight w:val="none"/>
              </w:rPr>
              <w:t>With the Anhui Chungu 3D Printing Intelligent Equipment Industrial Park and the Chery (Fanchang) Zero-Carbon Industrial Park as the core carriers, we shall focus on fields such as low-carbon energy and advanced equipment manufacturing, with priority development in sub-industries including additive manufacturing equipment, new energy storage, and carbon capture, utilization, and storage (CCUS). We shall strive to create provincial-level future industry pilot zones for low-carbon energy and advanced equipment manufacturing.</w:t>
            </w:r>
          </w:p>
        </w:tc>
      </w:tr>
    </w:tbl>
    <w:p w14:paraId="44665DF2">
      <w:pPr>
        <w:keepNext/>
        <w:keepLines/>
        <w:spacing w:before="240" w:after="120"/>
        <w:rPr>
          <w:rFonts w:hint="default" w:ascii="Times New Roman" w:hAnsi="Times New Roman" w:cs="Times New Roman"/>
          <w:highlight w:val="none"/>
        </w:rPr>
      </w:pPr>
      <w:r>
        <w:rPr>
          <w:rFonts w:hint="default" w:ascii="Times New Roman" w:hAnsi="Times New Roman" w:eastAsia="微软雅黑" w:cs="Times New Roman"/>
          <w:b/>
          <w:color w:val="1A1A1A"/>
          <w:sz w:val="24"/>
          <w:highlight w:val="none"/>
        </w:rPr>
        <w:t>(IV) Institutional Reform and Empowerment Initiative</w:t>
      </w:r>
    </w:p>
    <w:p w14:paraId="631D26CB">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highlight w:val="none"/>
        </w:rPr>
        <w:t>10. Establish an industry development analysis and foresight mechanism.</w:t>
      </w:r>
      <w:r>
        <w:rPr>
          <w:rFonts w:hint="eastAsia" w:ascii="Times New Roman" w:hAnsi="Times New Roman" w:cs="Times New Roman"/>
          <w:b/>
          <w:color w:val="1A1A1A"/>
          <w:sz w:val="22"/>
          <w:highlight w:val="none"/>
          <w:lang w:val="en-US" w:eastAsia="zh-CN"/>
        </w:rPr>
        <w:t xml:space="preserve"> </w:t>
      </w:r>
      <w:r>
        <w:rPr>
          <w:rFonts w:hint="default" w:ascii="Times New Roman" w:hAnsi="Times New Roman" w:eastAsia="微软雅黑" w:cs="Times New Roman"/>
          <w:color w:val="1A1A1A"/>
          <w:sz w:val="22"/>
          <w:highlight w:val="none"/>
        </w:rPr>
        <w:t>We shall establish a regular consultation mechanism comprising "think tank institutions + entrepreneurs + investment institutions + government departments," and strengthen future industry analysis and foresight through round</w:t>
      </w:r>
      <w:r>
        <w:rPr>
          <w:rFonts w:hint="eastAsia" w:ascii="Times New Roman" w:hAnsi="Times New Roman" w:cs="Times New Roman"/>
          <w:color w:val="1A1A1A"/>
          <w:sz w:val="22"/>
          <w:highlight w:val="none"/>
          <w:lang w:val="en-US" w:eastAsia="zh-CN"/>
        </w:rPr>
        <w:t>-</w:t>
      </w:r>
      <w:r>
        <w:rPr>
          <w:rFonts w:hint="default" w:ascii="Times New Roman" w:hAnsi="Times New Roman" w:eastAsia="微软雅黑" w:cs="Times New Roman"/>
          <w:color w:val="1A1A1A"/>
          <w:sz w:val="22"/>
          <w:highlight w:val="none"/>
        </w:rPr>
        <w:t>table dialogues and "Breakfast Chat Sessions." We sha</w:t>
      </w:r>
      <w:bookmarkEnd w:id="0"/>
      <w:r>
        <w:rPr>
          <w:rFonts w:hint="default" w:ascii="Times New Roman" w:hAnsi="Times New Roman" w:eastAsia="微软雅黑" w:cs="Times New Roman"/>
          <w:color w:val="1A1A1A"/>
          <w:sz w:val="22"/>
        </w:rPr>
        <w:t>ll strengthen strategic research and consulting on future industry development, establish a Future Industry Development Advisory Committee, build a future industry expert database, and encourage the formation of sub-field innovation alliances, industry alliances, and business associations in conjunction with relevant associations of the ten major emerging industries.</w:t>
      </w:r>
    </w:p>
    <w:p w14:paraId="7D310051">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11. Establish a government-industry-university-research-finance-service integration mechanism.</w:t>
      </w:r>
      <w:r>
        <w:rPr>
          <w:rFonts w:hint="eastAsia" w:ascii="Times New Roman" w:hAnsi="Times New Roman" w:cs="Times New Roman"/>
          <w:b/>
          <w:color w:val="1A1A1A"/>
          <w:sz w:val="22"/>
          <w:lang w:val="en-US" w:eastAsia="zh-CN"/>
        </w:rPr>
        <w:t xml:space="preserve"> </w:t>
      </w:r>
      <w:r>
        <w:rPr>
          <w:rFonts w:hint="default" w:ascii="Times New Roman" w:hAnsi="Times New Roman" w:eastAsia="微软雅黑" w:cs="Times New Roman"/>
          <w:color w:val="1A1A1A"/>
          <w:sz w:val="22"/>
        </w:rPr>
        <w:t>We shall build a close-knit "government-industry-university-research-finance-service" integration mechanism to promote the close interactive coupling of science and technology, education, finance, services, and other resource elements with future industries. Focusing on the future industry chain, we shall systematically plan and build public service platforms for concept verification, pilot testing, inspection and testing, industrial intelligence, and management consulting, and create a platform service matrix for the resonance of science and industry.</w:t>
      </w:r>
    </w:p>
    <w:p w14:paraId="6F5E521F">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12. Deepen the opening-up and cooperation mechanism.</w:t>
      </w:r>
      <w:r>
        <w:rPr>
          <w:rFonts w:hint="eastAsia" w:ascii="Times New Roman" w:hAnsi="Times New Roman" w:cs="Times New Roman"/>
          <w:b/>
          <w:color w:val="1A1A1A"/>
          <w:sz w:val="22"/>
          <w:lang w:val="en-US" w:eastAsia="zh-CN"/>
        </w:rPr>
        <w:t xml:space="preserve"> </w:t>
      </w:r>
      <w:r>
        <w:rPr>
          <w:rFonts w:hint="default" w:ascii="Times New Roman" w:hAnsi="Times New Roman" w:eastAsia="微软雅黑" w:cs="Times New Roman"/>
          <w:color w:val="1A1A1A"/>
          <w:sz w:val="22"/>
        </w:rPr>
        <w:t>Leveraging mechanisms such as the Belt and Road Initiative and the Regional Comprehensive Economic Partnership (RCEP), we shall vigorously introduce global innovation and industrial resources, support future industry enterprises in establishing overseas R&amp;D, manufacturing, and operation institutions, and encourage deep participation in the global division of future industries. We shall strengthen guidance and assistance in responding to overseas intellectual property disputes.</w:t>
      </w:r>
    </w:p>
    <w:p w14:paraId="3525DF04">
      <w:pPr>
        <w:keepNext/>
        <w:keepLines/>
        <w:spacing w:before="240" w:after="120"/>
        <w:rPr>
          <w:rFonts w:hint="default" w:ascii="Times New Roman" w:hAnsi="Times New Roman" w:cs="Times New Roman"/>
        </w:rPr>
      </w:pPr>
      <w:r>
        <w:rPr>
          <w:rFonts w:hint="default" w:ascii="Times New Roman" w:hAnsi="Times New Roman" w:eastAsia="微软雅黑" w:cs="Times New Roman"/>
          <w:b/>
          <w:color w:val="1A1A1A"/>
          <w:sz w:val="24"/>
        </w:rPr>
        <w:t>(V) Factor Aggregation and Supply Initiative</w:t>
      </w:r>
    </w:p>
    <w:p w14:paraId="5965C484">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13. Data factor supply.</w:t>
      </w:r>
      <w:r>
        <w:rPr>
          <w:rFonts w:hint="eastAsia" w:ascii="Times New Roman" w:hAnsi="Times New Roman" w:cs="Times New Roman"/>
          <w:b/>
          <w:color w:val="1A1A1A"/>
          <w:sz w:val="22"/>
          <w:lang w:val="en-US" w:eastAsia="zh-CN"/>
        </w:rPr>
        <w:t xml:space="preserve"> </w:t>
      </w:r>
      <w:r>
        <w:rPr>
          <w:rFonts w:hint="default" w:ascii="Times New Roman" w:hAnsi="Times New Roman" w:eastAsia="微软雅黑" w:cs="Times New Roman"/>
          <w:color w:val="1A1A1A"/>
          <w:sz w:val="22"/>
        </w:rPr>
        <w:t>We shall accelerate the construction of computing infrastructure, promote the integrated development of diverse computing powers such as general-purpose computing and intelligent computing, and steadily improve the comprehensive computing supply capacity. We shall explore the construction of high-quality artificial intelligence datasets; focus on key industries such as manufacturing, pharmaceuticals, telecommunications, finance, and education; collect and integrate high-quality multi-modal data through multiple channels; and explore the creation of an "AI+" data centralized training base. We shall implement the "Data Factor ×" key initiative and guide market entities to promote data factor-empowered industrial development through scenario-driven and application-oriented approaches.</w:t>
      </w:r>
    </w:p>
    <w:p w14:paraId="577EB3AA">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14. Special policy supply.</w:t>
      </w:r>
      <w:r>
        <w:rPr>
          <w:rFonts w:hint="eastAsia" w:ascii="Times New Roman" w:hAnsi="Times New Roman" w:cs="Times New Roman"/>
          <w:b/>
          <w:color w:val="1A1A1A"/>
          <w:sz w:val="22"/>
          <w:lang w:val="en-US" w:eastAsia="zh-CN"/>
        </w:rPr>
        <w:t xml:space="preserve"> </w:t>
      </w:r>
      <w:r>
        <w:rPr>
          <w:rFonts w:hint="default" w:ascii="Times New Roman" w:hAnsi="Times New Roman" w:eastAsia="微软雅黑" w:cs="Times New Roman"/>
          <w:color w:val="1A1A1A"/>
          <w:sz w:val="22"/>
        </w:rPr>
        <w:t>We shall support all counties, county-level cities, and districts (development zones) in issuing special policies for future industry pilot zones based on local conditions, to support the construction of future industry pilot zones in their respective regions and the coordinated development of cross-regional future industry enterprises. The municipal finance department shall provide subsidies equivalent to 40% of the actual funds disbursed under the special policies of each county, county-level city, or district (development zone), with the maximum annual support fund for each provincial-level future industry pilot zone reaching RMB 30 million and the maximum annual support fund for each municipal-level future industry pilot zone reaching RMB 10 million. We shall encourage all levels and departments to increase procurement efforts for future products and government-purchased services.</w:t>
      </w:r>
    </w:p>
    <w:p w14:paraId="4460A7AA">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15. Diversified funding supply.</w:t>
      </w:r>
      <w:r>
        <w:rPr>
          <w:rFonts w:hint="eastAsia" w:ascii="Times New Roman" w:hAnsi="Times New Roman" w:cs="Times New Roman"/>
          <w:b/>
          <w:color w:val="1A1A1A"/>
          <w:sz w:val="22"/>
          <w:lang w:val="en-US" w:eastAsia="zh-CN"/>
        </w:rPr>
        <w:t xml:space="preserve"> </w:t>
      </w:r>
      <w:r>
        <w:rPr>
          <w:rFonts w:hint="default" w:ascii="Times New Roman" w:hAnsi="Times New Roman" w:eastAsia="微软雅黑" w:cs="Times New Roman"/>
          <w:color w:val="1A1A1A"/>
          <w:sz w:val="22"/>
        </w:rPr>
        <w:t>We shall coordinate the roles of fiscal guidance funds and government investment funds, develop patient capital focused on early-stage, small-scale, long-term, and hard-tech investments, and guide angel investment, venture capital, private equity investment, and merger and acquisition funds to increase investment in future industries. We shall improve the multi-relay financial service system, build a comprehensive "investment-lending-guarantee-subsidy-leasing" financial service model, and create a science and technology finance ecosystem featuring shared risks and shared benefits.</w:t>
      </w:r>
    </w:p>
    <w:p w14:paraId="057AB2C3">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16. High-quality talent supply.</w:t>
      </w:r>
      <w:r>
        <w:rPr>
          <w:rFonts w:hint="eastAsia" w:ascii="Times New Roman" w:hAnsi="Times New Roman" w:cs="Times New Roman"/>
          <w:b/>
          <w:color w:val="1A1A1A"/>
          <w:sz w:val="22"/>
          <w:lang w:val="en-US" w:eastAsia="zh-CN"/>
        </w:rPr>
        <w:t xml:space="preserve"> </w:t>
      </w:r>
      <w:r>
        <w:rPr>
          <w:rFonts w:hint="default" w:ascii="Times New Roman" w:hAnsi="Times New Roman" w:eastAsia="微软雅黑" w:cs="Times New Roman"/>
          <w:color w:val="1A1A1A"/>
          <w:sz w:val="22"/>
        </w:rPr>
        <w:t>We shall deeply implement the "Ziyunying Talent Plan," focus on the development needs of future industries, and strengthen precise policy supply. We shall formulate and publish a catalog of urgently needed talents in future industries, and attract and cultivate a cohort of strategic scientists, scientific and technological leaders, and innovation and entrepreneurship teams. We shall support universities and research institutes in optimizing discipline settings and vigorously developing new engineering disciplines and new cross-disciplinary programs oriented toward future industries, and proactively lay out urgently needed disciplines and majors. We shall improve the construction of industry-education integration, science-education integration, and internship and practice carriers.</w:t>
      </w:r>
    </w:p>
    <w:p w14:paraId="646BF186">
      <w:pPr>
        <w:keepNext/>
        <w:keepLines/>
        <w:spacing w:before="240" w:after="120"/>
        <w:rPr>
          <w:rFonts w:hint="default" w:ascii="Times New Roman" w:hAnsi="Times New Roman" w:cs="Times New Roman"/>
        </w:rPr>
      </w:pPr>
      <w:r>
        <w:rPr>
          <w:rFonts w:hint="default" w:ascii="Times New Roman" w:hAnsi="Times New Roman" w:eastAsia="微软雅黑" w:cs="Times New Roman"/>
          <w:b/>
          <w:color w:val="1A1A1A"/>
          <w:sz w:val="24"/>
        </w:rPr>
        <w:t>(VI) Ecosystem Building and Optimization Initiative</w:t>
      </w:r>
    </w:p>
    <w:p w14:paraId="0A3601C1">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17. Innovate the regulatory system.</w:t>
      </w:r>
      <w:r>
        <w:rPr>
          <w:rFonts w:hint="eastAsia" w:ascii="Times New Roman" w:hAnsi="Times New Roman" w:cs="Times New Roman"/>
          <w:b/>
          <w:color w:val="1A1A1A"/>
          <w:sz w:val="22"/>
          <w:lang w:val="en-US" w:eastAsia="zh-CN"/>
        </w:rPr>
        <w:t xml:space="preserve"> </w:t>
      </w:r>
      <w:r>
        <w:rPr>
          <w:rFonts w:hint="default" w:ascii="Times New Roman" w:hAnsi="Times New Roman" w:eastAsia="微软雅黑" w:cs="Times New Roman"/>
          <w:color w:val="1A1A1A"/>
          <w:sz w:val="22"/>
        </w:rPr>
        <w:t>Under the premise of ensuring safety and controllability, we shall explore and build market access and market supervision systems for future industry products and services that encourage innovation and are flexibly inclusive. We shall maintain the regulatory bottom line in areas such as artificial intelligence and biology regarding safety and scientific and technological ethics. We shall strengthen enterprise self-discipline and support industry associations and other social organizations in participating in the supervision and governance of future industries.</w:t>
      </w:r>
    </w:p>
    <w:p w14:paraId="7F8F7B13">
      <w:pPr>
        <w:spacing w:before="80" w:after="120" w:line="360" w:lineRule="auto"/>
        <w:ind w:left="360" w:hanging="360"/>
        <w:jc w:val="both"/>
        <w:rPr>
          <w:rFonts w:hint="default" w:ascii="Times New Roman" w:hAnsi="Times New Roman" w:cs="Times New Roman"/>
        </w:rPr>
      </w:pPr>
      <w:r>
        <w:rPr>
          <w:rFonts w:hint="default" w:ascii="Times New Roman" w:hAnsi="Times New Roman" w:eastAsia="微软雅黑" w:cs="Times New Roman"/>
          <w:b/>
          <w:color w:val="1A1A1A"/>
          <w:sz w:val="22"/>
        </w:rPr>
        <w:t>18. Improve the service system.</w:t>
      </w:r>
      <w:r>
        <w:rPr>
          <w:rFonts w:hint="eastAsia" w:ascii="Times New Roman" w:hAnsi="Times New Roman" w:cs="Times New Roman"/>
          <w:b/>
          <w:color w:val="1A1A1A"/>
          <w:sz w:val="22"/>
          <w:lang w:val="en-US" w:eastAsia="zh-CN"/>
        </w:rPr>
        <w:t xml:space="preserve"> </w:t>
      </w:r>
      <w:r>
        <w:rPr>
          <w:rFonts w:hint="default" w:ascii="Times New Roman" w:hAnsi="Times New Roman" w:eastAsia="微软雅黑" w:cs="Times New Roman"/>
          <w:color w:val="1A1A1A"/>
          <w:sz w:val="22"/>
        </w:rPr>
        <w:t>We shall build enterprise empowerment centers, improve the enterprise service system, and provide enterprises with integrated services such as R&amp;D design, patent navigation, and standard formulation. Focusing on new scenarios and business formats such as smart operation and maintenance and digital homes, we shall actively promote new models such as Software as a Service (SaaS), Resource as a Service (RaaS), and Platform as a Service (PaaS).</w:t>
      </w:r>
    </w:p>
    <w:p w14:paraId="0D007004">
      <w:pPr>
        <w:keepNext/>
        <w:keepLines/>
        <w:spacing w:before="360" w:after="160"/>
        <w:rPr>
          <w:rFonts w:hint="default" w:ascii="Times New Roman" w:hAnsi="Times New Roman" w:cs="Times New Roman"/>
        </w:rPr>
      </w:pPr>
      <w:r>
        <w:rPr>
          <w:rFonts w:hint="default" w:ascii="Times New Roman" w:hAnsi="Times New Roman" w:eastAsia="微软雅黑" w:cs="Times New Roman"/>
          <w:b/>
          <w:color w:val="2C5282"/>
          <w:sz w:val="28"/>
        </w:rPr>
        <w:t>V. Implementation Mechanisms</w:t>
      </w:r>
    </w:p>
    <w:p w14:paraId="58C48B96">
      <w:pPr>
        <w:keepNext/>
        <w:keepLines/>
        <w:spacing w:before="240" w:after="120"/>
        <w:rPr>
          <w:rFonts w:hint="default" w:ascii="Times New Roman" w:hAnsi="Times New Roman" w:cs="Times New Roman"/>
        </w:rPr>
      </w:pPr>
      <w:r>
        <w:rPr>
          <w:rFonts w:hint="default" w:ascii="Times New Roman" w:hAnsi="Times New Roman" w:eastAsia="微软雅黑" w:cs="Times New Roman"/>
          <w:b/>
          <w:color w:val="1A1A1A"/>
          <w:sz w:val="24"/>
        </w:rPr>
        <w:t>(I) Establish a Coordinated Mechanism</w:t>
      </w:r>
    </w:p>
    <w:p w14:paraId="1D42BE3D">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The Municipal Development and Reform Commission, together with the Municipal Science and Technology Bureau, the Municipal Bureau of Industry and Information Technology, and other relevant departments, shall ensure the implementation of this Action Plan. Each carrier shall combine its resource endowments and industrial advantages to build a "Six Ones" future industry promotion system comprising "one working task force, a batch of innovation platforms, one core carrier, a batch of industrial funds, one special policy, and a batch of key projects;" sort out the "four major maps" of future industry "industrial chains, innovation chains, talent chains, and capital chains;" clarify the baseline of industrial development; study and formulate future industry cultivation and development strategies; and promote efforts to strengthen, supplement, and extend industrial chains in priority fields.</w:t>
      </w:r>
    </w:p>
    <w:p w14:paraId="12851CB9">
      <w:pPr>
        <w:keepNext/>
        <w:keepLines/>
        <w:spacing w:before="240" w:after="120"/>
        <w:rPr>
          <w:rFonts w:hint="default" w:ascii="Times New Roman" w:hAnsi="Times New Roman" w:cs="Times New Roman"/>
        </w:rPr>
      </w:pPr>
      <w:r>
        <w:rPr>
          <w:rFonts w:hint="default" w:ascii="Times New Roman" w:hAnsi="Times New Roman" w:eastAsia="微软雅黑" w:cs="Times New Roman"/>
          <w:b/>
          <w:color w:val="1A1A1A"/>
          <w:sz w:val="24"/>
        </w:rPr>
        <w:t>(II) Establish a Monitoring and Evaluation Mechanism</w:t>
      </w:r>
    </w:p>
    <w:p w14:paraId="1D64FC53">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Based on the characteristics of future industry development, we shall classify and establish statistical monitoring and evaluation systems for future industries, timely grasp the development dynamics of each sub-field, and establish tracking, feedback, evaluation, and adjustment mechanisms. We shall establish a dynamic adjustment mechanism to increase investment in fields where technological R&amp;D has achieved breakthroughs, market potential is clear, and the industrialization process is accelerating, striving to form industries at an early date.</w:t>
      </w:r>
    </w:p>
    <w:p w14:paraId="784ED37F">
      <w:pPr>
        <w:keepNext/>
        <w:keepLines/>
        <w:spacing w:before="240" w:after="120"/>
        <w:rPr>
          <w:rFonts w:hint="default" w:ascii="Times New Roman" w:hAnsi="Times New Roman" w:cs="Times New Roman"/>
        </w:rPr>
      </w:pPr>
      <w:r>
        <w:rPr>
          <w:rFonts w:hint="default" w:ascii="Times New Roman" w:hAnsi="Times New Roman" w:eastAsia="微软雅黑" w:cs="Times New Roman"/>
          <w:b/>
          <w:color w:val="1A1A1A"/>
          <w:sz w:val="24"/>
        </w:rPr>
        <w:t>(III) Create a Favorable Development Environment</w:t>
      </w:r>
    </w:p>
    <w:p w14:paraId="51A9833B">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We shall improve systems for property rights protection, market access, and fair competition; fully implement the scientific research integrity commitment system; strengthen integrity review throughout the entire process of scientific research activities; and create a social atmosphere and innovation culture that respects talent, encourages innovation, and tolerates failure. We shall continue to organize industry summits and exhibitions in fields such as the low-altitude economy and robotics, foster a strong atmosphere for future industry exchange, and guide all parties to participate in the cultivation and development of future industries.</w:t>
      </w:r>
    </w:p>
    <w:p w14:paraId="694C40F7">
      <w:pPr>
        <w:keepNext/>
        <w:keepLines/>
        <w:spacing w:before="240" w:after="120"/>
        <w:rPr>
          <w:rFonts w:hint="default" w:ascii="Times New Roman" w:hAnsi="Times New Roman" w:cs="Times New Roman"/>
        </w:rPr>
      </w:pPr>
      <w:r>
        <w:rPr>
          <w:rFonts w:hint="default" w:ascii="Times New Roman" w:hAnsi="Times New Roman" w:eastAsia="微软雅黑" w:cs="Times New Roman"/>
          <w:b/>
          <w:color w:val="1A1A1A"/>
          <w:sz w:val="24"/>
        </w:rPr>
        <w:t>(IV) Establish an Innovation and Error-Tolerance Mechanism</w:t>
      </w:r>
    </w:p>
    <w:p w14:paraId="71A4E9B2">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People's governments at or above the county level and their staff who, in promoting the development of future industries, fail to achieve expected outcomes due to pioneering initiatives, exploratory trials without clear restrictions, errors committed in the course of promoting development, unclear policy boundaries, or policy adjustments, may be granted error tolerance in accordance with regulations, provided that the decision-making and implementation procedures comply with applicable rules, neither the individuals nor the units have sought private gain, and no malicious collusion with other individuals or units to harm public interests or the legitimate rights and interests of others has occurred. We shall implement audit measures for error tolerance and exemption in future industry development, explore inclusive and prudent supervision measures such as "observation periods" and "inclusion periods," and pilot "sandbox supervision" in eligible fields.</w:t>
      </w:r>
    </w:p>
    <w:sectPr>
      <w:footerReference r:id="rId5" w:type="default"/>
      <w:pgSz w:w="11906" w:h="16838"/>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80EC82A9-56F1-4E7A-8415-3F0877E23933}"/>
  </w:font>
  <w:font w:name="微软雅黑">
    <w:panose1 w:val="020B0503020204020204"/>
    <w:charset w:val="86"/>
    <w:family w:val="auto"/>
    <w:pitch w:val="default"/>
    <w:sig w:usb0="80000287" w:usb1="2ACF3C50" w:usb2="00000016" w:usb3="00000000" w:csb0="0004001F" w:csb1="00000000"/>
    <w:embedRegular r:id="rId2" w:fontKey="{16752C3E-7C2E-4FC3-89E8-26491BF2F3C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F3F7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6EDCF4">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B6EDCF4">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40" w:lineRule="auto"/>
      </w:pPr>
      <w:r>
        <w:separator/>
      </w:r>
    </w:p>
  </w:footnote>
  <w:footnote w:type="continuationSeparator" w:id="1">
    <w:p>
      <w:pPr>
        <w:spacing w:before="0" w:after="0" w:line="3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documentProtection w:enforcement="0"/>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895462"/>
    <w:rsid w:val="1B217FE9"/>
    <w:rsid w:val="291340AA"/>
    <w:rsid w:val="3A736AF5"/>
    <w:rsid w:val="42A91A83"/>
    <w:rsid w:val="46523B3D"/>
    <w:rsid w:val="69A17905"/>
    <w:rsid w:val="6C7205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340" w:lineRule="auto"/>
    </w:pPr>
    <w:rPr>
      <w:rFonts w:ascii="Calibri" w:hAnsi="Calibri" w:eastAsia="微软雅黑" w:cstheme="minorBidi"/>
      <w:color w:val="1A1A1A"/>
      <w:sz w:val="22"/>
      <w:szCs w:val="2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Pages>
  <Words>4416</Words>
  <Characters>29264</Characters>
  <TotalTime>1</TotalTime>
  <ScaleCrop>false</ScaleCrop>
  <LinksUpToDate>false</LinksUpToDate>
  <CharactersWithSpaces>33592</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2026-06-09T08:07:00Z</dcterms:created>
  <dc:creator>35943</dc:creator>
  <cp:lastModifiedBy>norman</cp:lastModifiedBy>
  <cp:lastPrinted>2026-06-09T08:31:00Z</cp:lastPrinted>
  <dcterms:modified xsi:type="dcterms:W3CDTF">2026-06-12T01:37:08Z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29A94F513B8341589A56E832DD5D5A48_13</vt:lpwstr>
  </property>
  <property fmtid="{D5CDD505-2E9C-101B-9397-08002B2CF9AE}" pid="4" name="KSOTemplateDocerSaveRecord">
    <vt:lpwstr>eyJoZGlkIjoiMzEwNTM5NzYwMDRjMzkwZTVkZjY2ODkwMGIxNGU0OTUiLCJ1c2VySWQiOiI0MTU5MTU5OTYifQ==</vt:lpwstr>
  </property>
</Properties>
</file>