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b/>
          <w:sz w:val="36"/>
          <w:szCs w:val="36"/>
        </w:rPr>
      </w:pPr>
      <w:r>
        <w:rPr>
          <w:rFonts w:hint="eastAsia" w:ascii="宋体" w:hAnsi="宋体"/>
          <w:b/>
          <w:sz w:val="36"/>
          <w:szCs w:val="36"/>
        </w:rPr>
        <w:t>芜湖市精神文明建设指导委员会办公室</w:t>
      </w:r>
    </w:p>
    <w:p>
      <w:pPr>
        <w:jc w:val="center"/>
        <w:rPr>
          <w:rFonts w:hint="eastAsia" w:ascii="宋体" w:hAnsi="宋体"/>
          <w:b/>
          <w:sz w:val="36"/>
          <w:szCs w:val="36"/>
        </w:rPr>
      </w:pPr>
      <w:r>
        <w:rPr>
          <w:rFonts w:ascii="宋体" w:hAnsi="宋体"/>
          <w:b/>
          <w:sz w:val="36"/>
          <w:szCs w:val="36"/>
        </w:rPr>
        <w:t>2020年</w:t>
      </w:r>
      <w:r>
        <w:rPr>
          <w:rFonts w:hint="eastAsia" w:ascii="宋体" w:hAnsi="宋体"/>
          <w:b/>
          <w:sz w:val="36"/>
          <w:szCs w:val="36"/>
        </w:rPr>
        <w:t>度一般公共预算财政拨款</w:t>
      </w:r>
    </w:p>
    <w:p>
      <w:pPr>
        <w:jc w:val="center"/>
        <w:rPr>
          <w:rFonts w:hint="eastAsia" w:ascii="宋体" w:hAnsi="宋体"/>
          <w:b/>
          <w:sz w:val="36"/>
          <w:szCs w:val="36"/>
        </w:rPr>
      </w:pPr>
      <w:r>
        <w:rPr>
          <w:rFonts w:ascii="宋体" w:hAnsi="宋体"/>
          <w:b/>
          <w:sz w:val="36"/>
          <w:szCs w:val="36"/>
        </w:rPr>
        <w:t>“三公</w:t>
      </w:r>
      <w:r>
        <w:rPr>
          <w:rFonts w:hint="eastAsia" w:ascii="宋体" w:hAnsi="宋体"/>
          <w:b/>
          <w:sz w:val="36"/>
          <w:szCs w:val="36"/>
        </w:rPr>
        <w:t>”</w:t>
      </w:r>
      <w:r>
        <w:rPr>
          <w:rFonts w:ascii="宋体" w:hAnsi="宋体"/>
          <w:b/>
          <w:sz w:val="36"/>
          <w:szCs w:val="36"/>
        </w:rPr>
        <w:t>经费</w:t>
      </w:r>
      <w:r>
        <w:rPr>
          <w:rFonts w:hint="eastAsia" w:ascii="宋体" w:hAnsi="宋体"/>
          <w:b/>
          <w:sz w:val="36"/>
          <w:szCs w:val="36"/>
        </w:rPr>
        <w:t>支出决算情况说明</w:t>
      </w:r>
    </w:p>
    <w:p>
      <w:pPr>
        <w:jc w:val="center"/>
        <w:rPr>
          <w:rFonts w:hint="eastAsia" w:ascii="楷体_GB2312" w:eastAsia="楷体_GB2312"/>
          <w:szCs w:val="32"/>
        </w:rPr>
      </w:pPr>
    </w:p>
    <w:p>
      <w:pPr>
        <w:adjustRightInd w:val="0"/>
        <w:snapToGrid w:val="0"/>
        <w:spacing w:line="360" w:lineRule="auto"/>
        <w:jc w:val="center"/>
        <w:rPr>
          <w:rFonts w:hint="eastAsia" w:ascii="宋体" w:hAnsi="宋体"/>
          <w:sz w:val="6"/>
          <w:szCs w:val="32"/>
        </w:rPr>
      </w:pPr>
    </w:p>
    <w:p>
      <w:pPr>
        <w:rPr>
          <w:rFonts w:hint="eastAsia" w:ascii="黑体" w:hAnsi="黑体" w:eastAsia="黑体"/>
          <w:szCs w:val="32"/>
        </w:rPr>
      </w:pPr>
      <w:r>
        <w:rPr>
          <w:rFonts w:ascii="黑体" w:hAnsi="黑体" w:eastAsia="黑体"/>
          <w:szCs w:val="32"/>
        </w:rPr>
        <w:t xml:space="preserve">    </w:t>
      </w:r>
      <w:r>
        <w:rPr>
          <w:rFonts w:hint="eastAsia" w:ascii="黑体" w:hAnsi="黑体" w:eastAsia="黑体"/>
          <w:szCs w:val="32"/>
        </w:rPr>
        <w:t>一、2020年度一般公共预算财政拨款“三公”经费支出决算表</w:t>
      </w:r>
    </w:p>
    <w:p>
      <w:pPr>
        <w:ind w:firstLine="6400" w:firstLineChars="2000"/>
        <w:rPr>
          <w:rFonts w:hint="eastAsia" w:ascii="黑体" w:hAnsi="黑体" w:eastAsia="黑体"/>
          <w:szCs w:val="32"/>
        </w:rPr>
      </w:pPr>
      <w:r>
        <w:rPr>
          <w:rFonts w:hint="eastAsia" w:ascii="仿宋_GB2312" w:hAnsi="仿宋_GB2312" w:cs="仿宋_GB2312"/>
          <w:szCs w:val="32"/>
        </w:rPr>
        <w:t>单位：万元</w:t>
      </w:r>
    </w:p>
    <w:tbl>
      <w:tblPr>
        <w:tblStyle w:val="2"/>
        <w:tblpPr w:leftFromText="180" w:rightFromText="180" w:vertAnchor="text" w:horzAnchor="page" w:tblpX="1839" w:tblpY="15"/>
        <w:tblOverlap w:val="never"/>
        <w:tblW w:w="0" w:type="auto"/>
        <w:tblInd w:w="0" w:type="dxa"/>
        <w:tblLayout w:type="fixed"/>
        <w:tblCellMar>
          <w:top w:w="0" w:type="dxa"/>
          <w:left w:w="108" w:type="dxa"/>
          <w:bottom w:w="0" w:type="dxa"/>
          <w:right w:w="108" w:type="dxa"/>
        </w:tblCellMar>
      </w:tblPr>
      <w:tblGrid>
        <w:gridCol w:w="4379"/>
        <w:gridCol w:w="2157"/>
        <w:gridCol w:w="2220"/>
      </w:tblGrid>
      <w:tr>
        <w:tblPrEx>
          <w:tblCellMar>
            <w:top w:w="0" w:type="dxa"/>
            <w:left w:w="108" w:type="dxa"/>
            <w:bottom w:w="0" w:type="dxa"/>
            <w:right w:w="108" w:type="dxa"/>
          </w:tblCellMar>
        </w:tblPrEx>
        <w:trPr>
          <w:trHeight w:val="397" w:hRule="atLeast"/>
        </w:trPr>
        <w:tc>
          <w:tcPr>
            <w:tcW w:w="437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b/>
                <w:bCs/>
                <w:kern w:val="0"/>
                <w:szCs w:val="21"/>
              </w:rPr>
            </w:pPr>
            <w:r>
              <w:rPr>
                <w:rFonts w:hint="eastAsia" w:ascii="宋体" w:hAnsi="宋体" w:cs="宋体"/>
                <w:b/>
                <w:bCs/>
                <w:kern w:val="0"/>
                <w:szCs w:val="21"/>
              </w:rPr>
              <w:t>项  目</w:t>
            </w:r>
          </w:p>
        </w:tc>
        <w:tc>
          <w:tcPr>
            <w:tcW w:w="2157"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cs="宋体"/>
                <w:b/>
                <w:bCs/>
                <w:kern w:val="0"/>
                <w:szCs w:val="21"/>
              </w:rPr>
            </w:pPr>
            <w:r>
              <w:rPr>
                <w:rFonts w:hint="eastAsia" w:ascii="宋体" w:hAnsi="宋体" w:cs="宋体"/>
                <w:b/>
                <w:bCs/>
                <w:kern w:val="0"/>
                <w:szCs w:val="21"/>
              </w:rPr>
              <w:t>预 算 数</w:t>
            </w:r>
          </w:p>
        </w:tc>
        <w:tc>
          <w:tcPr>
            <w:tcW w:w="2220"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cs="宋体"/>
                <w:b/>
                <w:bCs/>
                <w:kern w:val="0"/>
                <w:szCs w:val="21"/>
              </w:rPr>
            </w:pPr>
            <w:r>
              <w:rPr>
                <w:rFonts w:hint="eastAsia" w:ascii="宋体" w:hAnsi="宋体" w:cs="宋体"/>
                <w:b/>
                <w:bCs/>
                <w:kern w:val="0"/>
                <w:szCs w:val="21"/>
              </w:rPr>
              <w:t>决 算 数</w:t>
            </w:r>
          </w:p>
        </w:tc>
      </w:tr>
      <w:tr>
        <w:tblPrEx>
          <w:tblCellMar>
            <w:top w:w="0" w:type="dxa"/>
            <w:left w:w="108" w:type="dxa"/>
            <w:bottom w:w="0" w:type="dxa"/>
            <w:right w:w="108" w:type="dxa"/>
          </w:tblCellMar>
        </w:tblPrEx>
        <w:trPr>
          <w:trHeight w:val="397" w:hRule="atLeast"/>
        </w:trPr>
        <w:tc>
          <w:tcPr>
            <w:tcW w:w="4379"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b/>
                <w:bCs/>
                <w:kern w:val="0"/>
                <w:szCs w:val="21"/>
              </w:rPr>
            </w:pPr>
            <w:r>
              <w:rPr>
                <w:rFonts w:hint="eastAsia" w:ascii="宋体" w:hAnsi="宋体" w:cs="宋体"/>
                <w:b/>
                <w:bCs/>
                <w:kern w:val="0"/>
                <w:szCs w:val="21"/>
              </w:rPr>
              <w:t>合  计</w:t>
            </w:r>
          </w:p>
        </w:tc>
        <w:tc>
          <w:tcPr>
            <w:tcW w:w="2157" w:type="dxa"/>
            <w:tcBorders>
              <w:top w:val="nil"/>
              <w:left w:val="nil"/>
              <w:bottom w:val="single" w:color="auto" w:sz="4" w:space="0"/>
              <w:right w:val="single" w:color="auto" w:sz="4" w:space="0"/>
            </w:tcBorders>
            <w:noWrap w:val="0"/>
            <w:vAlign w:val="center"/>
          </w:tcPr>
          <w:p>
            <w:pPr>
              <w:widowControl/>
              <w:ind w:firstLine="643" w:firstLineChars="200"/>
              <w:rPr>
                <w:rFonts w:ascii="宋体" w:hAnsi="宋体" w:cs="宋体"/>
                <w:b/>
                <w:bCs/>
                <w:kern w:val="0"/>
                <w:szCs w:val="21"/>
              </w:rPr>
            </w:pPr>
            <w:r>
              <w:rPr>
                <w:rFonts w:hint="eastAsia" w:ascii="宋体" w:hAnsi="宋体" w:cs="宋体"/>
                <w:b/>
                <w:bCs/>
                <w:kern w:val="0"/>
                <w:szCs w:val="21"/>
              </w:rPr>
              <w:t>4　</w:t>
            </w:r>
          </w:p>
        </w:tc>
        <w:tc>
          <w:tcPr>
            <w:tcW w:w="2220" w:type="dxa"/>
            <w:tcBorders>
              <w:top w:val="nil"/>
              <w:left w:val="nil"/>
              <w:bottom w:val="single" w:color="auto" w:sz="4" w:space="0"/>
              <w:right w:val="single" w:color="auto" w:sz="4" w:space="0"/>
            </w:tcBorders>
            <w:noWrap w:val="0"/>
            <w:vAlign w:val="center"/>
          </w:tcPr>
          <w:p>
            <w:pPr>
              <w:widowControl/>
              <w:ind w:firstLine="321" w:firstLineChars="100"/>
              <w:rPr>
                <w:rFonts w:ascii="宋体" w:hAnsi="宋体" w:cs="宋体"/>
                <w:b/>
                <w:bCs/>
                <w:kern w:val="0"/>
                <w:szCs w:val="21"/>
              </w:rPr>
            </w:pPr>
            <w:r>
              <w:rPr>
                <w:rFonts w:hint="eastAsia" w:ascii="宋体" w:hAnsi="宋体" w:cs="宋体"/>
                <w:b/>
                <w:bCs/>
                <w:kern w:val="0"/>
                <w:szCs w:val="21"/>
              </w:rPr>
              <w:t>1.70　</w:t>
            </w:r>
          </w:p>
        </w:tc>
      </w:tr>
      <w:tr>
        <w:tblPrEx>
          <w:tblCellMar>
            <w:top w:w="0" w:type="dxa"/>
            <w:left w:w="108" w:type="dxa"/>
            <w:bottom w:w="0" w:type="dxa"/>
            <w:right w:w="108" w:type="dxa"/>
          </w:tblCellMar>
        </w:tblPrEx>
        <w:trPr>
          <w:trHeight w:val="397" w:hRule="atLeast"/>
        </w:trPr>
        <w:tc>
          <w:tcPr>
            <w:tcW w:w="4379" w:type="dxa"/>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Cs w:val="21"/>
              </w:rPr>
            </w:pPr>
            <w:r>
              <w:rPr>
                <w:rFonts w:hint="eastAsia" w:ascii="宋体" w:hAnsi="宋体" w:cs="宋体"/>
                <w:kern w:val="0"/>
                <w:szCs w:val="21"/>
              </w:rPr>
              <w:t>因公出国（境）费</w:t>
            </w:r>
          </w:p>
        </w:tc>
        <w:tc>
          <w:tcPr>
            <w:tcW w:w="2157" w:type="dxa"/>
            <w:tcBorders>
              <w:top w:val="nil"/>
              <w:left w:val="nil"/>
              <w:bottom w:val="single" w:color="auto" w:sz="4" w:space="0"/>
              <w:right w:val="single" w:color="auto" w:sz="4" w:space="0"/>
            </w:tcBorders>
            <w:noWrap w:val="0"/>
            <w:vAlign w:val="bottom"/>
          </w:tcPr>
          <w:p>
            <w:pPr>
              <w:widowControl/>
              <w:jc w:val="left"/>
              <w:rPr>
                <w:rFonts w:hint="eastAsia" w:ascii="宋体" w:hAnsi="宋体" w:cs="宋体"/>
                <w:kern w:val="0"/>
                <w:szCs w:val="21"/>
              </w:rPr>
            </w:pPr>
            <w:r>
              <w:rPr>
                <w:rFonts w:hint="eastAsia" w:ascii="宋体" w:hAnsi="宋体" w:cs="宋体"/>
                <w:kern w:val="0"/>
                <w:szCs w:val="21"/>
              </w:rPr>
              <w:t>　  0</w:t>
            </w:r>
          </w:p>
        </w:tc>
        <w:tc>
          <w:tcPr>
            <w:tcW w:w="2220" w:type="dxa"/>
            <w:tcBorders>
              <w:top w:val="nil"/>
              <w:left w:val="nil"/>
              <w:bottom w:val="single" w:color="auto" w:sz="4" w:space="0"/>
              <w:right w:val="single" w:color="auto" w:sz="4" w:space="0"/>
            </w:tcBorders>
            <w:noWrap w:val="0"/>
            <w:vAlign w:val="bottom"/>
          </w:tcPr>
          <w:p>
            <w:pPr>
              <w:widowControl/>
              <w:jc w:val="left"/>
              <w:rPr>
                <w:rFonts w:hint="eastAsia" w:ascii="宋体" w:hAnsi="宋体" w:cs="宋体"/>
                <w:kern w:val="0"/>
                <w:szCs w:val="21"/>
              </w:rPr>
            </w:pPr>
            <w:r>
              <w:rPr>
                <w:rFonts w:hint="eastAsia" w:ascii="宋体" w:hAnsi="宋体" w:cs="宋体"/>
                <w:kern w:val="0"/>
                <w:szCs w:val="21"/>
              </w:rPr>
              <w:t>　0</w:t>
            </w:r>
          </w:p>
        </w:tc>
      </w:tr>
      <w:tr>
        <w:tblPrEx>
          <w:tblCellMar>
            <w:top w:w="0" w:type="dxa"/>
            <w:left w:w="108" w:type="dxa"/>
            <w:bottom w:w="0" w:type="dxa"/>
            <w:right w:w="108" w:type="dxa"/>
          </w:tblCellMar>
        </w:tblPrEx>
        <w:trPr>
          <w:trHeight w:val="397" w:hRule="atLeast"/>
        </w:trPr>
        <w:tc>
          <w:tcPr>
            <w:tcW w:w="4379" w:type="dxa"/>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Cs w:val="21"/>
              </w:rPr>
            </w:pPr>
            <w:r>
              <w:rPr>
                <w:rFonts w:hint="eastAsia" w:ascii="宋体" w:hAnsi="宋体" w:cs="宋体"/>
                <w:kern w:val="0"/>
                <w:szCs w:val="21"/>
              </w:rPr>
              <w:t>公务接待费</w:t>
            </w:r>
          </w:p>
        </w:tc>
        <w:tc>
          <w:tcPr>
            <w:tcW w:w="2157" w:type="dxa"/>
            <w:tcBorders>
              <w:top w:val="nil"/>
              <w:left w:val="nil"/>
              <w:bottom w:val="single" w:color="auto" w:sz="4" w:space="0"/>
              <w:right w:val="single" w:color="auto" w:sz="4" w:space="0"/>
            </w:tcBorders>
            <w:noWrap w:val="0"/>
            <w:vAlign w:val="bottom"/>
          </w:tcPr>
          <w:p>
            <w:pPr>
              <w:widowControl/>
              <w:jc w:val="left"/>
              <w:rPr>
                <w:rFonts w:ascii="宋体" w:hAnsi="宋体" w:cs="宋体"/>
                <w:kern w:val="0"/>
                <w:szCs w:val="21"/>
              </w:rPr>
            </w:pPr>
            <w:r>
              <w:rPr>
                <w:rFonts w:hint="eastAsia" w:ascii="宋体" w:hAnsi="宋体" w:cs="宋体"/>
                <w:kern w:val="0"/>
                <w:szCs w:val="21"/>
              </w:rPr>
              <w:t>　  4.00</w:t>
            </w:r>
          </w:p>
        </w:tc>
        <w:tc>
          <w:tcPr>
            <w:tcW w:w="2220" w:type="dxa"/>
            <w:tcBorders>
              <w:top w:val="nil"/>
              <w:left w:val="nil"/>
              <w:bottom w:val="single" w:color="auto" w:sz="4" w:space="0"/>
              <w:right w:val="single" w:color="auto" w:sz="4" w:space="0"/>
            </w:tcBorders>
            <w:noWrap w:val="0"/>
            <w:vAlign w:val="bottom"/>
          </w:tcPr>
          <w:p>
            <w:pPr>
              <w:widowControl/>
              <w:jc w:val="left"/>
              <w:rPr>
                <w:rFonts w:ascii="宋体" w:hAnsi="宋体" w:cs="宋体"/>
                <w:kern w:val="0"/>
                <w:szCs w:val="21"/>
              </w:rPr>
            </w:pPr>
            <w:r>
              <w:rPr>
                <w:rFonts w:hint="eastAsia" w:ascii="宋体" w:hAnsi="宋体" w:cs="宋体"/>
                <w:kern w:val="0"/>
                <w:szCs w:val="21"/>
              </w:rPr>
              <w:t>　1.70</w:t>
            </w:r>
          </w:p>
        </w:tc>
      </w:tr>
      <w:tr>
        <w:tblPrEx>
          <w:tblCellMar>
            <w:top w:w="0" w:type="dxa"/>
            <w:left w:w="108" w:type="dxa"/>
            <w:bottom w:w="0" w:type="dxa"/>
            <w:right w:w="108" w:type="dxa"/>
          </w:tblCellMar>
        </w:tblPrEx>
        <w:trPr>
          <w:trHeight w:val="397" w:hRule="atLeast"/>
        </w:trPr>
        <w:tc>
          <w:tcPr>
            <w:tcW w:w="4379" w:type="dxa"/>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Cs w:val="21"/>
              </w:rPr>
            </w:pPr>
            <w:r>
              <w:rPr>
                <w:rFonts w:hint="eastAsia" w:ascii="宋体" w:hAnsi="宋体" w:cs="宋体"/>
                <w:kern w:val="0"/>
                <w:szCs w:val="21"/>
              </w:rPr>
              <w:t>公务用车购置及运行维护费</w:t>
            </w:r>
          </w:p>
        </w:tc>
        <w:tc>
          <w:tcPr>
            <w:tcW w:w="2157" w:type="dxa"/>
            <w:tcBorders>
              <w:top w:val="nil"/>
              <w:left w:val="nil"/>
              <w:bottom w:val="single" w:color="auto" w:sz="4" w:space="0"/>
              <w:right w:val="single" w:color="auto" w:sz="4" w:space="0"/>
            </w:tcBorders>
            <w:noWrap w:val="0"/>
            <w:vAlign w:val="bottom"/>
          </w:tcPr>
          <w:p>
            <w:pPr>
              <w:widowControl/>
              <w:jc w:val="left"/>
              <w:rPr>
                <w:rFonts w:hint="eastAsia" w:ascii="宋体" w:hAnsi="宋体" w:cs="宋体"/>
                <w:kern w:val="0"/>
                <w:szCs w:val="21"/>
              </w:rPr>
            </w:pPr>
            <w:r>
              <w:rPr>
                <w:rFonts w:hint="eastAsia" w:ascii="宋体" w:hAnsi="宋体" w:cs="宋体"/>
                <w:kern w:val="0"/>
                <w:szCs w:val="21"/>
              </w:rPr>
              <w:t>　  0</w:t>
            </w:r>
          </w:p>
        </w:tc>
        <w:tc>
          <w:tcPr>
            <w:tcW w:w="2220" w:type="dxa"/>
            <w:tcBorders>
              <w:top w:val="nil"/>
              <w:left w:val="nil"/>
              <w:bottom w:val="single" w:color="auto" w:sz="4" w:space="0"/>
              <w:right w:val="single" w:color="auto" w:sz="4" w:space="0"/>
            </w:tcBorders>
            <w:noWrap w:val="0"/>
            <w:vAlign w:val="bottom"/>
          </w:tcPr>
          <w:p>
            <w:pPr>
              <w:widowControl/>
              <w:jc w:val="left"/>
              <w:rPr>
                <w:rFonts w:hint="eastAsia" w:ascii="宋体" w:hAnsi="宋体" w:cs="宋体"/>
                <w:kern w:val="0"/>
                <w:szCs w:val="21"/>
              </w:rPr>
            </w:pPr>
            <w:r>
              <w:rPr>
                <w:rFonts w:hint="eastAsia" w:ascii="宋体" w:hAnsi="宋体" w:cs="宋体"/>
                <w:kern w:val="0"/>
                <w:szCs w:val="21"/>
              </w:rPr>
              <w:t>　0</w:t>
            </w:r>
          </w:p>
        </w:tc>
      </w:tr>
      <w:tr>
        <w:tblPrEx>
          <w:tblCellMar>
            <w:top w:w="0" w:type="dxa"/>
            <w:left w:w="108" w:type="dxa"/>
            <w:bottom w:w="0" w:type="dxa"/>
            <w:right w:w="108" w:type="dxa"/>
          </w:tblCellMar>
        </w:tblPrEx>
        <w:trPr>
          <w:trHeight w:val="397" w:hRule="atLeast"/>
        </w:trPr>
        <w:tc>
          <w:tcPr>
            <w:tcW w:w="4379" w:type="dxa"/>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Cs w:val="21"/>
              </w:rPr>
            </w:pPr>
            <w:r>
              <w:rPr>
                <w:rFonts w:hint="eastAsia" w:ascii="宋体" w:hAnsi="宋体" w:cs="宋体"/>
                <w:kern w:val="0"/>
                <w:szCs w:val="21"/>
              </w:rPr>
              <w:t xml:space="preserve">  其中：公务用车运行维护费</w:t>
            </w:r>
          </w:p>
        </w:tc>
        <w:tc>
          <w:tcPr>
            <w:tcW w:w="2157" w:type="dxa"/>
            <w:tcBorders>
              <w:top w:val="nil"/>
              <w:left w:val="nil"/>
              <w:bottom w:val="single" w:color="auto" w:sz="4" w:space="0"/>
              <w:right w:val="single" w:color="auto" w:sz="4" w:space="0"/>
            </w:tcBorders>
            <w:noWrap w:val="0"/>
            <w:vAlign w:val="bottom"/>
          </w:tcPr>
          <w:p>
            <w:pPr>
              <w:widowControl/>
              <w:ind w:firstLine="640" w:firstLineChars="200"/>
              <w:jc w:val="left"/>
              <w:rPr>
                <w:rFonts w:ascii="宋体" w:hAnsi="宋体" w:cs="宋体"/>
                <w:kern w:val="0"/>
                <w:szCs w:val="21"/>
              </w:rPr>
            </w:pPr>
            <w:r>
              <w:rPr>
                <w:rFonts w:hint="eastAsia" w:ascii="宋体" w:hAnsi="宋体" w:cs="宋体"/>
                <w:kern w:val="0"/>
                <w:szCs w:val="21"/>
              </w:rPr>
              <w:t>0</w:t>
            </w:r>
          </w:p>
        </w:tc>
        <w:tc>
          <w:tcPr>
            <w:tcW w:w="2220" w:type="dxa"/>
            <w:tcBorders>
              <w:top w:val="nil"/>
              <w:left w:val="nil"/>
              <w:bottom w:val="single" w:color="auto" w:sz="4" w:space="0"/>
              <w:right w:val="single" w:color="auto" w:sz="4" w:space="0"/>
            </w:tcBorders>
            <w:noWrap w:val="0"/>
            <w:vAlign w:val="bottom"/>
          </w:tcPr>
          <w:p>
            <w:pPr>
              <w:widowControl/>
              <w:jc w:val="left"/>
              <w:rPr>
                <w:rFonts w:hint="eastAsia" w:ascii="宋体" w:hAnsi="宋体" w:cs="宋体"/>
                <w:kern w:val="0"/>
                <w:szCs w:val="21"/>
              </w:rPr>
            </w:pPr>
            <w:r>
              <w:rPr>
                <w:rFonts w:hint="eastAsia" w:ascii="宋体" w:hAnsi="宋体" w:cs="宋体"/>
                <w:kern w:val="0"/>
                <w:szCs w:val="21"/>
              </w:rPr>
              <w:t>　0</w:t>
            </w:r>
          </w:p>
        </w:tc>
      </w:tr>
      <w:tr>
        <w:tblPrEx>
          <w:tblCellMar>
            <w:top w:w="0" w:type="dxa"/>
            <w:left w:w="108" w:type="dxa"/>
            <w:bottom w:w="0" w:type="dxa"/>
            <w:right w:w="108" w:type="dxa"/>
          </w:tblCellMar>
        </w:tblPrEx>
        <w:trPr>
          <w:trHeight w:val="397" w:hRule="atLeast"/>
        </w:trPr>
        <w:tc>
          <w:tcPr>
            <w:tcW w:w="4379" w:type="dxa"/>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Cs w:val="21"/>
              </w:rPr>
            </w:pPr>
            <w:r>
              <w:rPr>
                <w:rFonts w:hint="eastAsia" w:ascii="宋体" w:hAnsi="宋体" w:cs="宋体"/>
                <w:kern w:val="0"/>
                <w:szCs w:val="21"/>
              </w:rPr>
              <w:t xml:space="preserve">        公务用车购置费 </w:t>
            </w:r>
          </w:p>
        </w:tc>
        <w:tc>
          <w:tcPr>
            <w:tcW w:w="2157" w:type="dxa"/>
            <w:tcBorders>
              <w:top w:val="nil"/>
              <w:left w:val="nil"/>
              <w:bottom w:val="single" w:color="auto" w:sz="4" w:space="0"/>
              <w:right w:val="single" w:color="auto" w:sz="4" w:space="0"/>
            </w:tcBorders>
            <w:noWrap w:val="0"/>
            <w:vAlign w:val="bottom"/>
          </w:tcPr>
          <w:p>
            <w:pPr>
              <w:widowControl/>
              <w:jc w:val="left"/>
              <w:rPr>
                <w:rFonts w:hint="eastAsia" w:ascii="宋体" w:hAnsi="宋体" w:cs="宋体"/>
                <w:kern w:val="0"/>
                <w:szCs w:val="21"/>
              </w:rPr>
            </w:pPr>
            <w:r>
              <w:rPr>
                <w:rFonts w:hint="eastAsia" w:ascii="宋体" w:hAnsi="宋体" w:cs="宋体"/>
                <w:kern w:val="0"/>
                <w:szCs w:val="21"/>
              </w:rPr>
              <w:t>　  0</w:t>
            </w:r>
          </w:p>
        </w:tc>
        <w:tc>
          <w:tcPr>
            <w:tcW w:w="2220" w:type="dxa"/>
            <w:tcBorders>
              <w:top w:val="nil"/>
              <w:left w:val="nil"/>
              <w:bottom w:val="single" w:color="auto" w:sz="4" w:space="0"/>
              <w:right w:val="single" w:color="auto" w:sz="4" w:space="0"/>
            </w:tcBorders>
            <w:noWrap w:val="0"/>
            <w:vAlign w:val="bottom"/>
          </w:tcPr>
          <w:p>
            <w:pPr>
              <w:widowControl/>
              <w:jc w:val="left"/>
              <w:rPr>
                <w:rFonts w:hint="eastAsia" w:ascii="宋体" w:hAnsi="宋体" w:cs="宋体"/>
                <w:kern w:val="0"/>
                <w:szCs w:val="21"/>
              </w:rPr>
            </w:pPr>
            <w:r>
              <w:rPr>
                <w:rFonts w:hint="eastAsia" w:ascii="宋体" w:hAnsi="宋体" w:cs="宋体"/>
                <w:kern w:val="0"/>
                <w:szCs w:val="21"/>
              </w:rPr>
              <w:t>　0</w:t>
            </w:r>
          </w:p>
        </w:tc>
      </w:tr>
    </w:tbl>
    <w:p>
      <w:pPr>
        <w:rPr>
          <w:rFonts w:hint="eastAsia" w:ascii="仿宋_GB2312" w:hAnsi="仿宋_GB2312" w:cs="仿宋_GB2312"/>
          <w:sz w:val="24"/>
          <w:szCs w:val="24"/>
        </w:rPr>
      </w:pPr>
    </w:p>
    <w:p>
      <w:pPr>
        <w:rPr>
          <w:rFonts w:hint="eastAsia" w:ascii="黑体" w:hAnsi="黑体" w:eastAsia="黑体"/>
          <w:szCs w:val="32"/>
        </w:rPr>
      </w:pPr>
      <w:r>
        <w:rPr>
          <w:rFonts w:hint="eastAsia" w:ascii="仿宋_GB2312" w:hAnsi="仿宋_GB2312" w:cs="仿宋_GB2312"/>
          <w:sz w:val="24"/>
          <w:szCs w:val="24"/>
        </w:rPr>
        <w:t>注：本表反映部门本年度“三公”经费支出预决算情况。其中，预算数为“三公”经费年初预算数，决算数是包括当年一般公共预算财政拨款和以前年度结转资金安排的实际支出；本表金额转换成万元时，因四舍五入可能存在尾差。</w:t>
      </w:r>
      <w:r>
        <w:rPr>
          <w:rFonts w:hint="eastAsia" w:ascii="黑体" w:hAnsi="黑体" w:eastAsia="黑体"/>
          <w:szCs w:val="32"/>
        </w:rPr>
        <w:t xml:space="preserve">                                      </w:t>
      </w:r>
    </w:p>
    <w:p>
      <w:pPr>
        <w:rPr>
          <w:rFonts w:hint="eastAsia" w:ascii="黑体" w:hAnsi="黑体" w:eastAsia="黑体"/>
          <w:szCs w:val="32"/>
        </w:rPr>
      </w:pPr>
      <w:r>
        <w:rPr>
          <w:rFonts w:ascii="黑体" w:hAnsi="黑体" w:eastAsia="黑体"/>
          <w:szCs w:val="32"/>
        </w:rPr>
        <w:t xml:space="preserve">    </w:t>
      </w:r>
      <w:r>
        <w:rPr>
          <w:rFonts w:hint="eastAsia" w:ascii="黑体" w:hAnsi="黑体" w:eastAsia="黑体"/>
          <w:szCs w:val="32"/>
        </w:rPr>
        <w:t>二</w:t>
      </w:r>
      <w:r>
        <w:rPr>
          <w:rFonts w:ascii="黑体" w:hAnsi="黑体" w:eastAsia="黑体"/>
          <w:szCs w:val="32"/>
        </w:rPr>
        <w:t>、2020年</w:t>
      </w:r>
      <w:r>
        <w:rPr>
          <w:rFonts w:hint="eastAsia" w:ascii="黑体" w:hAnsi="黑体" w:eastAsia="黑体"/>
          <w:szCs w:val="32"/>
        </w:rPr>
        <w:t>度一般公共预算财政拨款“三公”经费支出</w:t>
      </w:r>
      <w:r>
        <w:rPr>
          <w:rFonts w:ascii="黑体" w:hAnsi="黑体" w:eastAsia="黑体"/>
          <w:szCs w:val="32"/>
        </w:rPr>
        <w:t>情况说明</w:t>
      </w:r>
    </w:p>
    <w:p>
      <w:pPr>
        <w:ind w:firstLine="643" w:firstLineChars="200"/>
        <w:rPr>
          <w:rFonts w:hint="eastAsia" w:ascii="仿宋_GB2312" w:hAnsi="仿宋"/>
          <w:b/>
          <w:szCs w:val="32"/>
        </w:rPr>
      </w:pPr>
      <w:r>
        <w:rPr>
          <w:rFonts w:hint="eastAsia" w:ascii="仿宋_GB2312" w:hAnsi="仿宋"/>
          <w:b/>
          <w:szCs w:val="32"/>
        </w:rPr>
        <w:t>（一）一般公共预算财政拨款“三公”经费支出决算总体情况说明。</w:t>
      </w:r>
    </w:p>
    <w:p>
      <w:pPr>
        <w:ind w:firstLine="640" w:firstLineChars="200"/>
        <w:rPr>
          <w:rFonts w:hint="eastAsia" w:ascii="仿宋_GB2312" w:hAnsi="仿宋"/>
          <w:szCs w:val="32"/>
        </w:rPr>
      </w:pPr>
      <w:r>
        <w:rPr>
          <w:rFonts w:hint="eastAsia" w:ascii="仿宋_GB2312" w:hAnsi="仿宋"/>
          <w:szCs w:val="32"/>
        </w:rPr>
        <w:t>芜湖市精神文明建设指导委员会办公室2020年度一般公共预算财政拨款“三公”经费支出预算为4万元，支出决算为1.70万元，完成预算的</w:t>
      </w:r>
      <w:r>
        <w:rPr>
          <w:rFonts w:hint="eastAsia" w:ascii="仿宋_GB2312" w:hAnsi="仿宋"/>
          <w:szCs w:val="32"/>
          <w:lang w:val="en-US" w:eastAsia="zh-CN"/>
        </w:rPr>
        <w:t>100</w:t>
      </w:r>
      <w:r>
        <w:rPr>
          <w:rFonts w:hint="eastAsia" w:ascii="仿宋_GB2312" w:hAnsi="仿宋"/>
          <w:szCs w:val="32"/>
        </w:rPr>
        <w:t>%，决算数小于预算数的主</w:t>
      </w:r>
      <w:bookmarkStart w:id="0" w:name="_GoBack"/>
      <w:bookmarkEnd w:id="0"/>
      <w:r>
        <w:rPr>
          <w:rFonts w:hint="eastAsia" w:ascii="仿宋_GB2312" w:hAnsi="仿宋"/>
          <w:szCs w:val="32"/>
        </w:rPr>
        <w:t>要原因</w:t>
      </w:r>
      <w:r>
        <w:rPr>
          <w:spacing w:val="-9"/>
        </w:rPr>
        <w:t>公务接待批次和人次</w:t>
      </w:r>
      <w:r>
        <w:rPr>
          <w:spacing w:val="-8"/>
          <w:w w:val="95"/>
        </w:rPr>
        <w:t>减少。</w:t>
      </w:r>
      <w:r>
        <w:rPr>
          <w:rFonts w:hint="eastAsia" w:ascii="仿宋_GB2312" w:hAnsi="仿宋"/>
          <w:szCs w:val="32"/>
        </w:rPr>
        <w:t>为全面反映“三公”经费支出，本次公布的“三公”经费决算为部门汇总数，包含单位本级和所属单位。</w:t>
      </w:r>
    </w:p>
    <w:p>
      <w:pPr>
        <w:ind w:firstLine="643" w:firstLineChars="200"/>
        <w:rPr>
          <w:rFonts w:hint="eastAsia" w:ascii="仿宋_GB2312" w:hAnsi="仿宋"/>
          <w:b/>
          <w:szCs w:val="32"/>
        </w:rPr>
      </w:pPr>
      <w:r>
        <w:rPr>
          <w:rFonts w:hint="eastAsia" w:ascii="仿宋_GB2312" w:hAnsi="仿宋"/>
          <w:b/>
          <w:bCs/>
          <w:szCs w:val="32"/>
        </w:rPr>
        <w:t>（二）</w:t>
      </w:r>
      <w:r>
        <w:rPr>
          <w:rFonts w:hint="eastAsia" w:ascii="仿宋_GB2312" w:hAnsi="仿宋"/>
          <w:b/>
          <w:szCs w:val="32"/>
        </w:rPr>
        <w:t>一般公共预算财政拨款“三公”经费支出决算具体情况说明。</w:t>
      </w:r>
    </w:p>
    <w:p>
      <w:pPr>
        <w:ind w:firstLine="640" w:firstLineChars="200"/>
        <w:rPr>
          <w:rFonts w:hint="eastAsia" w:ascii="仿宋_GB2312" w:hAnsi="仿宋"/>
          <w:szCs w:val="32"/>
        </w:rPr>
      </w:pPr>
      <w:r>
        <w:rPr>
          <w:rFonts w:hint="eastAsia" w:ascii="仿宋_GB2312" w:hAnsi="仿宋"/>
          <w:szCs w:val="32"/>
        </w:rPr>
        <w:t>芜湖市精神文明建设指导委员会办公室2020年度一般公共预算财政拨款“三公”经费支出决算中，因公出国（境）费支出决算0万元，占0%;公务接待费支出决算1.7万元，占42.6%；公务用车购置及运行维护费支出决算0万元，占0%。具体情况如下：</w:t>
      </w:r>
    </w:p>
    <w:p>
      <w:pPr>
        <w:ind w:firstLine="628"/>
        <w:rPr>
          <w:rFonts w:hint="eastAsia" w:ascii="仿宋_GB2312" w:hAnsi="仿宋"/>
          <w:szCs w:val="32"/>
        </w:rPr>
      </w:pPr>
      <w:r>
        <w:rPr>
          <w:rFonts w:hint="eastAsia" w:ascii="仿宋_GB2312" w:hAnsi="仿宋"/>
          <w:b/>
          <w:bCs/>
          <w:szCs w:val="32"/>
        </w:rPr>
        <w:t>1.因公出国（境）费支出</w:t>
      </w:r>
      <w:r>
        <w:rPr>
          <w:rFonts w:hint="eastAsia" w:ascii="仿宋_GB2312" w:hAnsi="仿宋"/>
          <w:szCs w:val="32"/>
        </w:rPr>
        <w:t>0万元，与2020年度预算相比，没有增减变化。经费使用严格按照《安徽省省直党政机关因公临时出国经费管理办法》（财行〔2014〕104号）、《安徽省省直党政机关因公短期出国培训费用管理办法》（财行〔2014〕527号）等相关规定执行。</w:t>
      </w:r>
    </w:p>
    <w:p>
      <w:pPr>
        <w:ind w:firstLine="643" w:firstLineChars="200"/>
        <w:rPr>
          <w:rFonts w:hint="eastAsia" w:ascii="仿宋_GB2312" w:hAnsi="仿宋"/>
          <w:szCs w:val="32"/>
        </w:rPr>
      </w:pPr>
      <w:r>
        <w:rPr>
          <w:rFonts w:hint="eastAsia" w:ascii="仿宋_GB2312" w:hAnsi="仿宋"/>
          <w:b/>
          <w:bCs/>
          <w:szCs w:val="32"/>
        </w:rPr>
        <w:t>2.公务接待费支出</w:t>
      </w:r>
      <w:r>
        <w:rPr>
          <w:rFonts w:hint="eastAsia" w:ascii="仿宋_GB2312" w:hAnsi="仿宋"/>
          <w:szCs w:val="32"/>
        </w:rPr>
        <w:t>1.70万元, 与2020年度预算相比，减少2.3万元，下降57.4%，下降的原因是</w:t>
      </w:r>
      <w:r>
        <w:rPr>
          <w:rFonts w:ascii="仿宋_GB2312" w:hAnsi="仿宋"/>
          <w:szCs w:val="32"/>
        </w:rPr>
        <w:t>20</w:t>
      </w:r>
      <w:r>
        <w:rPr>
          <w:rFonts w:hint="eastAsia" w:ascii="仿宋_GB2312" w:hAnsi="仿宋"/>
          <w:szCs w:val="32"/>
        </w:rPr>
        <w:t>20</w:t>
      </w:r>
      <w:r>
        <w:rPr>
          <w:rFonts w:ascii="仿宋_GB2312" w:hAnsi="仿宋"/>
          <w:szCs w:val="32"/>
        </w:rPr>
        <w:t>年度公务接待批次和人次减少</w:t>
      </w:r>
      <w:r>
        <w:rPr>
          <w:rFonts w:hint="eastAsia" w:ascii="仿宋_GB2312" w:hAnsi="仿宋"/>
          <w:szCs w:val="32"/>
        </w:rPr>
        <w:t>。2020年芜湖市精神文明建设指导委员会办公室国内公务接待共12批次（其中外事接待0批次），63人次（其中外事接待0人次）。主要是用于</w:t>
      </w:r>
      <w:r>
        <w:rPr>
          <w:rFonts w:ascii="仿宋_GB2312" w:hAnsi="仿宋"/>
          <w:szCs w:val="32"/>
        </w:rPr>
        <w:t>市</w:t>
      </w:r>
      <w:r>
        <w:rPr>
          <w:rFonts w:hint="eastAsia" w:ascii="仿宋_GB2312" w:hAnsi="仿宋"/>
          <w:szCs w:val="32"/>
        </w:rPr>
        <w:t>文明办</w:t>
      </w:r>
      <w:r>
        <w:rPr>
          <w:rFonts w:ascii="仿宋_GB2312" w:hAnsi="仿宋"/>
          <w:szCs w:val="32"/>
        </w:rPr>
        <w:t>接待上级、外市单位业务指导和工作调研等</w:t>
      </w:r>
      <w:r>
        <w:rPr>
          <w:rFonts w:hint="eastAsia" w:ascii="仿宋_GB2312" w:hAnsi="仿宋"/>
          <w:szCs w:val="32"/>
        </w:rPr>
        <w:t>行</w:t>
      </w:r>
      <w:r>
        <w:rPr>
          <w:rFonts w:ascii="仿宋_GB2312" w:hAnsi="仿宋"/>
          <w:szCs w:val="32"/>
        </w:rPr>
        <w:t>政公务往来支出</w:t>
      </w:r>
      <w:r>
        <w:rPr>
          <w:rFonts w:hint="eastAsia" w:ascii="仿宋_GB2312" w:hAnsi="仿宋"/>
          <w:szCs w:val="32"/>
        </w:rPr>
        <w:t>。经费使用贯彻党中央“八项规定”和</w:t>
      </w:r>
      <w:r>
        <w:rPr>
          <w:rFonts w:hint="eastAsia" w:ascii="仿宋_GB2312" w:hAnsi="宋体" w:cs="宋体"/>
          <w:color w:val="282828"/>
          <w:kern w:val="0"/>
          <w:szCs w:val="32"/>
        </w:rPr>
        <w:t>省市相关实施细则</w:t>
      </w:r>
      <w:r>
        <w:rPr>
          <w:rFonts w:hint="eastAsia" w:ascii="仿宋_GB2312" w:hAnsi="仿宋"/>
          <w:szCs w:val="32"/>
        </w:rPr>
        <w:t>，严格执行《党政机关厉行节约反对浪费条例》、《安徽省省直机关公务接待管理暂行办法》（财行〔2014〕2066号）等相关规定。</w:t>
      </w:r>
    </w:p>
    <w:p>
      <w:pPr>
        <w:ind w:firstLine="643" w:firstLineChars="200"/>
        <w:rPr>
          <w:rFonts w:hint="eastAsia" w:ascii="仿宋_GB2312" w:hAnsi="仿宋"/>
          <w:szCs w:val="32"/>
        </w:rPr>
      </w:pPr>
      <w:r>
        <w:rPr>
          <w:rFonts w:hint="eastAsia" w:ascii="仿宋_GB2312" w:hAnsi="仿宋"/>
          <w:b/>
          <w:bCs/>
          <w:szCs w:val="32"/>
        </w:rPr>
        <w:t>3.公务用车购置及运行维护费支出</w:t>
      </w:r>
      <w:r>
        <w:rPr>
          <w:rFonts w:hint="eastAsia" w:ascii="仿宋_GB2312" w:hAnsi="仿宋"/>
          <w:szCs w:val="32"/>
        </w:rPr>
        <w:t>0万元，与2020年度预算相比没有增减变化。2020年度没有安排公务用车购置费，没有公务用车运行维护费。截至2020年12月31日，芜湖市精神文明建设指导委员会办公室机关（无所属单位）开支财政拨款的公务用车保有量为0辆。</w:t>
      </w:r>
    </w:p>
    <w:p>
      <w:pPr>
        <w:tabs>
          <w:tab w:val="left" w:pos="2198"/>
        </w:tabs>
        <w:rPr>
          <w:rFonts w:hint="eastAsia"/>
        </w:rPr>
      </w:pPr>
      <w:r>
        <w:tab/>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E3ODBjZGMzYTJkYzc5YjI4NjRiMzI4NDlkNTVjMGEifQ=="/>
  </w:docVars>
  <w:rsids>
    <w:rsidRoot w:val="26030203"/>
    <w:rsid w:val="26030203"/>
    <w:rsid w:val="3F8149B6"/>
    <w:rsid w:val="4B8539D3"/>
    <w:rsid w:val="79F620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1021</Words>
  <Characters>1115</Characters>
  <Lines>0</Lines>
  <Paragraphs>0</Paragraphs>
  <TotalTime>1</TotalTime>
  <ScaleCrop>false</ScaleCrop>
  <LinksUpToDate>false</LinksUpToDate>
  <CharactersWithSpaces>1201</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2021-08-20T07:30:00Z</dcterms:created>
  <dc:creator>Administrator</dc:creator>
  <cp:lastModifiedBy>Administrator</cp:lastModifiedBy>
  <dcterms:modified xsi:type="dcterms:W3CDTF">2022-09-06T07:45:50Z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D3565B1614644681986B6082EFBBD3FD</vt:lpwstr>
  </property>
</Properties>
</file>