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13E35">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55B9F016">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F9EBBC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4" w:name="_GoBack"/>
      <w:r>
        <w:rPr>
          <w:rFonts w:hint="default" w:ascii="Times New Roman" w:hAnsi="Times New Roman" w:eastAsia="方正小标宋_GBK" w:cs="Times New Roman"/>
          <w:sz w:val="44"/>
          <w:szCs w:val="44"/>
        </w:rPr>
        <w:t>芜湖市人民政府办公室关于印发芜湖市市区征收农村村民住宅补偿安置办法的通知</w:t>
      </w:r>
    </w:p>
    <w:bookmarkEnd w:id="4"/>
    <w:p w14:paraId="2B21293E">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芜政办〔2025〕6号</w:t>
      </w:r>
    </w:p>
    <w:p w14:paraId="30025F65">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4623729D">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各县市区人民政府，皖江江北新兴产业集中区、经济技术开发区、高新技术产业开发区、三山经济开发区、亳州芜湖现代产业园区管委会，市政府各部门、各直属单位，驻芜各单位：</w:t>
      </w:r>
    </w:p>
    <w:p w14:paraId="078B710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《芜湖市市区征收农村村民住宅补偿安置办法》已经2025年4月21日市政府第92次常务会议审议通过，现印发给你们，请认真贯彻落实。</w:t>
      </w:r>
    </w:p>
    <w:p w14:paraId="143DDD4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BA2D18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932C53F">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芜湖市人民政府办公室</w:t>
      </w:r>
    </w:p>
    <w:p w14:paraId="57230892">
      <w:pPr>
        <w:keepNext w:val="0"/>
        <w:keepLines w:val="0"/>
        <w:pageBreakBefore w:val="0"/>
        <w:widowControl w:val="0"/>
        <w:kinsoku/>
        <w:wordWrap/>
        <w:overflowPunct w:val="0"/>
        <w:topLinePunct w:val="0"/>
        <w:autoSpaceDE/>
        <w:autoSpaceDN/>
        <w:bidi w:val="0"/>
        <w:adjustRightInd/>
        <w:snapToGrid/>
        <w:spacing w:line="590" w:lineRule="exact"/>
        <w:ind w:right="735" w:rightChars="35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2025年4月28日</w:t>
      </w:r>
    </w:p>
    <w:p w14:paraId="1BB2D5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1F47BD5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9AE024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BA78D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D91366C">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2FD9544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芜湖市市区征收农村村民住宅补偿安置办法</w:t>
      </w:r>
    </w:p>
    <w:p w14:paraId="0C4C606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9DB387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进一步规范农村村民住宅房屋征收与补偿活动，切实保障被征收人的合法权益，有力推进房屋征收工作的顺利进行，根据《中华人民共和国土地管理法》《中华人民共和国土地管理法实施条例》《安徽省实施〈中华人民共和国土地管理法〉办法》及《安徽省土地征收及补偿安置办法》等法律法规规章规定，结合我市实际，现就市区农村村民住宅房屋征收补偿安置作如下规定：</w:t>
      </w:r>
    </w:p>
    <w:p w14:paraId="3EDA845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一、住宅房屋征收补偿</w:t>
      </w:r>
    </w:p>
    <w:p w14:paraId="106F20B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（一）房屋认定。</w:t>
      </w:r>
    </w:p>
    <w:p w14:paraId="3E09ED9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1．住宅房屋征收，根据《集体土地使用权证》或其他有效证照记载的住宅房屋面积给予补偿。</w:t>
      </w:r>
    </w:p>
    <w:p w14:paraId="78D1F79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2．无有效证照的住宅房屋，符合下列条件之一的，经确认后可给予补偿：</w:t>
      </w:r>
    </w:p>
    <w:p w14:paraId="239F62B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（1）政府统一规划、统一标准建设的小区和村民规划点；</w:t>
      </w:r>
    </w:p>
    <w:p w14:paraId="3DA1B7C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（2）2002年8月15日前建造的住宅房屋；</w:t>
      </w:r>
    </w:p>
    <w:p w14:paraId="422CF45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（3）2002年8月15日至2007年8月14日期间建造，系被征收人在本市集体土地上唯一住房的。</w:t>
      </w:r>
    </w:p>
    <w:p w14:paraId="3BB3C2F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3．2007年8月14日后建造的无有效证照的住宅房屋不予补偿。</w:t>
      </w:r>
    </w:p>
    <w:p w14:paraId="5445069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4．住宅房屋征收，人均标准补偿面积为45平方米。</w:t>
      </w:r>
    </w:p>
    <w:p w14:paraId="6EDDE9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（二）货币补偿。</w:t>
      </w:r>
    </w:p>
    <w:p w14:paraId="0D915EA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被征收人选择货币补偿的，按下列规定计算补偿金额。</w:t>
      </w:r>
    </w:p>
    <w:p w14:paraId="18888B4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具备有效证照的住宅房屋及政府统一规划、统一标准建设的小区和村民规划点的住宅房屋，人均标准补偿面积以内的部分，按被征收住宅房屋的基准价格计算补偿金额；超出人均标准补偿面积以外的部分，按被征收住宅房屋的重置价格结合成新、楼层计算补偿金额。</w:t>
      </w:r>
    </w:p>
    <w:p w14:paraId="7D9D97F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2002年8月15日前建造的无有效证照住宅房屋，人均标准补偿面积以内的部分，按被征收住宅房屋的基准价格计算补偿金额；超出人均标准补偿面积以外、55平方米以内的部分，按被征收住宅房屋的重置价格结合成新、楼层计算补偿金额；超出55平方米以外的部分，按被征收住宅房屋的重置价格结合成新、楼层的60%计算补偿金额。</w:t>
      </w:r>
    </w:p>
    <w:p w14:paraId="314BADB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2002年8月15日至2007年8月14日期间建造，系被征收人在本市集体土地上唯一住房的，人均标准补偿面积以内的部分，按被征收住宅房屋的基准价格计算补偿金额；超出人均标准补偿面积以外的部分，按被征收住宅房屋的重置价格结合成新、楼层的40%计算补偿金额。</w:t>
      </w:r>
    </w:p>
    <w:p w14:paraId="0D5E897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4．被征收住宅房屋面积小于人均标准补偿面积的，不足部分按被征收住宅房屋区位价格予以补助。</w:t>
      </w:r>
    </w:p>
    <w:p w14:paraId="2A6A89F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（三）产权调换。</w:t>
      </w:r>
    </w:p>
    <w:p w14:paraId="3101D03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被征收人选择产权调换的，按被征收住宅房屋的货币补偿金额与用于产权调换的房屋价格结算差价。产权调换的房屋价格应向被征收人公告。</w:t>
      </w:r>
    </w:p>
    <w:p w14:paraId="45028F9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除政府对用于产权调换房屋价格有特别规定外，应当以评估方式确定用于产权调换房屋的市场价值。</w:t>
      </w:r>
    </w:p>
    <w:p w14:paraId="6053830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按上述方式结算的产权调换房屋为完全产权。</w:t>
      </w:r>
    </w:p>
    <w:p w14:paraId="2607CF3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（四）安排宅基地建房。</w:t>
      </w:r>
    </w:p>
    <w:p w14:paraId="1D6EB53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镇开发边界外，宅基地选址和安置面积符合村庄规划和农村村民住宅建设有关规定的，可以重新安排宅基地建房。被征收人选择宅基地建房的，被征收住宅房屋参照货币补偿的方式计算补偿，但不享受区位价格补偿和补助。</w:t>
      </w:r>
    </w:p>
    <w:p w14:paraId="337E058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被征收人选择本办法其他方式补偿的，不再安排宅基地建房。</w:t>
      </w:r>
    </w:p>
    <w:p w14:paraId="5C902B4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二、其他补偿</w:t>
      </w:r>
    </w:p>
    <w:p w14:paraId="74EC804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（一）孤寡老人或孤儿的，人均标准补偿面积为50平方米。选择货币补偿的，可优先安排保障性住房。</w:t>
      </w:r>
    </w:p>
    <w:p w14:paraId="40E867F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（二）各类房屋及附属设施的征收补偿、搬迁补助费、临时安置补助费、停产停业损失费等补助，按公布的集体土地征收补偿标准执行。</w:t>
      </w:r>
    </w:p>
    <w:p w14:paraId="6BC0244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对住宅房屋的被征收人可给予一定的征收补助。具体补助标准为：被征收人选择货币补偿的具体补助标准不超过人均标准补偿面积补偿（含附属设施及装饰装修费用）的5%；选择产权调换的具体补助标准不超过人均标准补偿面积补偿（含附属设施及装饰装修费用）的10%。</w:t>
      </w:r>
    </w:p>
    <w:p w14:paraId="05EED06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对征收规定期限内签约搬迁的被征收人可给予一定的奖励。住宅房屋具体奖励标准为：被征收人选择货币补偿的具体奖励标准不超过人均标准补偿面积补偿（含附属设施及装饰装修费用）的5%；选择产权调换的具体奖励标准不超过人均标准补偿面积补偿（含附属设施及装饰装修费用）的10%。</w:t>
      </w:r>
    </w:p>
    <w:p w14:paraId="7B8CC26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三、安置人口的认定</w:t>
      </w:r>
    </w:p>
    <w:p w14:paraId="1D35446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安置人口以本集体经济组织内出生且具有本集体经济组织成员资格为基础，兼顾在本集体经济组织内生产、生活，与集体经济组织形成稳定的权利义务关系以及以集体所有的土地等财产为基本生活保障等因素进行认定。因务工、经商、服役、就学等原因暂时离开集体经济组织，不影响其享有补偿安置的权利。农村集体经济组织妇女成员不因丧偶、离婚而影响其享有补偿安置的权利。</w:t>
      </w:r>
    </w:p>
    <w:p w14:paraId="15CCA0F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（一）符合下列条件之一的人员，认定为安置人口：</w:t>
      </w:r>
    </w:p>
    <w:p w14:paraId="53FCFE9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1．本村出生的本集体经济组织成员；</w:t>
      </w:r>
    </w:p>
    <w:p w14:paraId="69472F7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2．与本集体经济组织成员结婚且户口迁入本村的；</w:t>
      </w:r>
    </w:p>
    <w:p w14:paraId="07F5EC6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3．本集体经济组织成员依法办理子女收养手续且其所收养子女户口已迁入本村的；</w:t>
      </w:r>
    </w:p>
    <w:p w14:paraId="4A78B57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4．大中专院校毕业生户口迁回原籍的；</w:t>
      </w:r>
    </w:p>
    <w:p w14:paraId="7153518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5．刑满释放后户口迁回本村的；</w:t>
      </w:r>
    </w:p>
    <w:p w14:paraId="2AB4BEA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6．其他因移民、扶贫搬迁等将户口依法迁入本村的。</w:t>
      </w:r>
    </w:p>
    <w:p w14:paraId="2D3A4C9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（二）户口迁出的现役军人（军官除外）、在校学生和服刑人员可计入安置人口；征收规定期限内出生的人口可计入安置人口。</w:t>
      </w:r>
    </w:p>
    <w:p w14:paraId="00E6845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（三）被征收人配偶、未婚子女（不含离异）户口未迁入且未享受过房改福利分房政策或本市其他集体经济组织房屋征收补偿政策的，可计入安置人口，但不适用本办法第一条第（二）项第4目规定。</w:t>
      </w:r>
    </w:p>
    <w:p w14:paraId="5B687D1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（四）政府统一规划、统一标准建设的小区和村民规划点，安置人口少于3人的，按3人计算安置人口。</w:t>
      </w:r>
    </w:p>
    <w:p w14:paraId="1BA020F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2009年3月1日《芜湖市人民政府办公室关于印发芜湖市房屋拆迁补偿安置规定的通知》（芜政办〔2009〕7号）发布后，被征收人有两处以上住宅房屋的，征收时应合并计算；执行《芜湖市人民政府办公室关于印发芜湖市市区集体土地住宅房屋拆迁补偿安置补充规定的通知》（芜政办〔2008〕64号）的，也应合并计算。</w:t>
      </w:r>
    </w:p>
    <w:p w14:paraId="5BDABF3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安置人口应结合户籍信息以及相关证明材料进行认定。未享受过房改福利分房政策的由户籍所在地住房制度改革主管部门出具证明；未享受过本市其他集体经济组织房屋征收补偿政策的由征收实施机构进行核实。</w:t>
      </w:r>
    </w:p>
    <w:p w14:paraId="3E88982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（七）被征收人应当对安置人口未享受过房改福利分房政策、在其他集体经济组织未享受房屋征收补偿政策和提供房屋产权相关资料真实性等作出书面承诺。</w:t>
      </w:r>
    </w:p>
    <w:p w14:paraId="48ED2B4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（八）安置人口认定的截止时间为征收土地预公告发布之日。征收土地预公告发布后，不得采取将户口迁入征收范围等方法增加补偿，严禁重复安置。</w:t>
      </w:r>
    </w:p>
    <w:p w14:paraId="0657A02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（九）安置人口由各区人民政府（开发区管委会）按照本办法规定进行认定。</w:t>
      </w:r>
    </w:p>
    <w:p w14:paraId="427A5E2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四、公示及无证照房屋确认</w:t>
      </w:r>
    </w:p>
    <w:p w14:paraId="2848F23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（一）房屋现状调查结果公示。</w:t>
      </w:r>
    </w:p>
    <w:p w14:paraId="290CCF7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征收土地预公告发布后，房屋现状调查结果应当在拟征收房屋所在乡镇（街道）、村（居）、村（居）民小组范围内公示，公示时间不少于5个工作日。房屋现状调查结果公示的主要内容包括：</w:t>
      </w:r>
    </w:p>
    <w:p w14:paraId="383F68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1．房屋基本情况，包括有效证照、房屋坐落、结构、建筑年代、面积等相关信息；</w:t>
      </w:r>
    </w:p>
    <w:p w14:paraId="2813CBA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2．安置人口基本情况，包括安置人口的姓名、户籍等相关信息；</w:t>
      </w:r>
    </w:p>
    <w:p w14:paraId="5EF41E6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3．其他需要公示的内容。</w:t>
      </w:r>
    </w:p>
    <w:p w14:paraId="407A65A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（二）房屋征收补偿结果公示。</w:t>
      </w:r>
    </w:p>
    <w:p w14:paraId="324D370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征收土地公告发布后，房屋征收补偿结果应在征收现场公示，公示时间不少于5个工作日。公示的主要内容包括：</w:t>
      </w:r>
    </w:p>
    <w:p w14:paraId="39C101E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1．交房时间及搬迁序号；</w:t>
      </w:r>
    </w:p>
    <w:p w14:paraId="38E0BF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2．货币补偿金额或产权调换房屋的坐落、面积等相关信息；</w:t>
      </w:r>
    </w:p>
    <w:p w14:paraId="7D04AE4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3．其他需要公示的内容。</w:t>
      </w:r>
    </w:p>
    <w:p w14:paraId="50770BD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（三）无证照房屋确认。</w:t>
      </w:r>
    </w:p>
    <w:p w14:paraId="33ED5E4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2007年8月14日前建造的无证照房屋应按最接近日期的地形图（数字化测绘图、航拍图、卫星遥感图片）予以确认。对建造年代有异议的，由被征收人向征收实施机构书面申请，本集体经济组织3人以上知情人证明，三榜公示无异议的，可计入补偿。</w:t>
      </w:r>
    </w:p>
    <w:p w14:paraId="7CCB85E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（四）国家、省关于土地征收程序另有规定的，按照其规定执行。</w:t>
      </w:r>
    </w:p>
    <w:p w14:paraId="7B1BC07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五、其他</w:t>
      </w:r>
    </w:p>
    <w:p w14:paraId="74F386F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（一）本办法中的农村村民住宅指的是集体土地上住宅房屋。</w:t>
      </w:r>
    </w:p>
    <w:p w14:paraId="18CBB28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（二）非住宅房屋征收补偿。</w:t>
      </w:r>
    </w:p>
    <w:p w14:paraId="4B6CE38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1．办公、生产、仓储等非住宅房屋征收时，具备有效证照及2002年8月15日前建造的，按被征收房屋评估价格计算补偿金额。</w:t>
      </w:r>
    </w:p>
    <w:p w14:paraId="5358FE8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2002年8月15日后建造且经相关部门批准的，按被征收房屋评估价格的80%计算补偿金额。</w:t>
      </w:r>
    </w:p>
    <w:p w14:paraId="444F75E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2．非住宅房屋征收时，对集体建设用地采用宗地地价评估的方式进行补偿。</w:t>
      </w:r>
    </w:p>
    <w:p w14:paraId="6A1313F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3．被征收人在征收规定期限内签约搬迁非住宅房屋的，可给予一定奖励。奖励标准为不超过被征收房屋补偿（含附属设施及装饰装修费用）的10%。</w:t>
      </w:r>
    </w:p>
    <w:p w14:paraId="3672DC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（三）市区江北区域（沈巷镇、二坝镇、汤沟镇、白茆镇）、湾沚区、繁昌区农村村民住宅征收补偿另有规定的，从其规定。</w:t>
      </w:r>
    </w:p>
    <w:p w14:paraId="461B638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（四）本办法实施中的具体问题由市住房城乡建设局会同市自然资源和规划局共同解释。</w:t>
      </w:r>
    </w:p>
    <w:p w14:paraId="423D0E0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（五）本办法自公布之日起施行。本办法施行前已批准征收的项目，继续沿用原有的规定办理。</w:t>
      </w:r>
    </w:p>
    <w:p w14:paraId="207FF61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附件：芜湖市市区（不含江北区域、湾沚区、繁昌区）农村</w:t>
      </w:r>
    </w:p>
    <w:p w14:paraId="5B0A9E8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村民住宅征收补偿标准</w:t>
      </w:r>
    </w:p>
    <w:p w14:paraId="583015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122AC62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39389B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DCD180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192168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3D8ABB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D753EC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7EFFC8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2A2215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B16ABA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C61D50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6DB875E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AD0160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A1F0E0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C46728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79B2B8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19B0B2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25EB14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EA2632B">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14:paraId="3C986D1E">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5AEC8C7E">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芜湖市市区（不含江北区域、湾沚区、繁昌区）农村村民住宅征收补偿标准</w:t>
      </w:r>
    </w:p>
    <w:p w14:paraId="79A35467">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43BF86F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w:t>
      </w:r>
      <w:bookmarkStart w:id="0" w:name="_Hlk120720950"/>
      <w:r>
        <w:rPr>
          <w:rFonts w:hint="default" w:ascii="Times New Roman" w:hAnsi="Times New Roman" w:eastAsia="方正黑体_GBK" w:cs="Times New Roman"/>
          <w:sz w:val="32"/>
          <w:szCs w:val="32"/>
        </w:rPr>
        <w:t>重置价格</w:t>
      </w:r>
      <w:bookmarkEnd w:id="0"/>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7"/>
        <w:gridCol w:w="518"/>
        <w:gridCol w:w="1209"/>
        <w:gridCol w:w="5586"/>
        <w:gridCol w:w="1322"/>
      </w:tblGrid>
      <w:tr w14:paraId="0CF3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45" w:type="dxa"/>
            <w:gridSpan w:val="2"/>
            <w:noWrap w:val="0"/>
            <w:vAlign w:val="center"/>
          </w:tcPr>
          <w:p w14:paraId="01BB2538">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类</w:t>
            </w:r>
            <w:r>
              <w:rPr>
                <w:rFonts w:hint="default" w:ascii="Times New Roman" w:hAnsi="Times New Roman" w:eastAsia="方正黑体_GBK" w:cs="Times New Roman"/>
                <w:kern w:val="0"/>
                <w:sz w:val="28"/>
                <w:szCs w:val="28"/>
              </w:rPr>
              <w:t>别</w:t>
            </w:r>
          </w:p>
        </w:tc>
        <w:tc>
          <w:tcPr>
            <w:tcW w:w="1209" w:type="dxa"/>
            <w:vMerge w:val="restart"/>
            <w:noWrap w:val="0"/>
            <w:vAlign w:val="center"/>
          </w:tcPr>
          <w:p w14:paraId="475CD09E">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spacing w:val="-4"/>
                <w:kern w:val="0"/>
                <w:sz w:val="28"/>
                <w:szCs w:val="28"/>
              </w:rPr>
            </w:pPr>
            <w:r>
              <w:rPr>
                <w:rFonts w:hint="default" w:ascii="Times New Roman" w:hAnsi="Times New Roman" w:eastAsia="方正黑体_GBK" w:cs="Times New Roman"/>
                <w:spacing w:val="-4"/>
                <w:kern w:val="0"/>
                <w:sz w:val="28"/>
                <w:szCs w:val="28"/>
              </w:rPr>
              <w:t>重置价格</w:t>
            </w:r>
          </w:p>
          <w:p w14:paraId="00A1D9B9">
            <w:pPr>
              <w:keepNext w:val="0"/>
              <w:keepLines w:val="0"/>
              <w:pageBreakBefore w:val="0"/>
              <w:kinsoku/>
              <w:wordWrap/>
              <w:overflowPunct/>
              <w:topLinePunct w:val="0"/>
              <w:autoSpaceDE w:val="0"/>
              <w:autoSpaceDN w:val="0"/>
              <w:bidi w:val="0"/>
              <w:adjustRightInd w:val="0"/>
              <w:snapToGrid w:val="0"/>
              <w:spacing w:line="360" w:lineRule="exact"/>
              <w:ind w:left="-105" w:leftChars="-50" w:right="-105" w:rightChars="-50"/>
              <w:jc w:val="center"/>
              <w:rPr>
                <w:rFonts w:hint="default" w:ascii="Times New Roman" w:hAnsi="Times New Roman" w:eastAsia="方正黑体_GBK" w:cs="Times New Roman"/>
                <w:spacing w:val="-4"/>
                <w:w w:val="95"/>
                <w:kern w:val="0"/>
                <w:sz w:val="28"/>
                <w:szCs w:val="28"/>
              </w:rPr>
            </w:pPr>
            <w:r>
              <w:rPr>
                <w:rFonts w:hint="default" w:ascii="Times New Roman" w:hAnsi="Times New Roman" w:eastAsia="方正黑体_GBK" w:cs="Times New Roman"/>
                <w:spacing w:val="-4"/>
                <w:w w:val="95"/>
                <w:kern w:val="0"/>
                <w:sz w:val="28"/>
                <w:szCs w:val="28"/>
              </w:rPr>
              <w:t>（元/平方米）</w:t>
            </w:r>
          </w:p>
        </w:tc>
        <w:tc>
          <w:tcPr>
            <w:tcW w:w="5586" w:type="dxa"/>
            <w:vMerge w:val="restart"/>
            <w:noWrap w:val="0"/>
            <w:vAlign w:val="center"/>
          </w:tcPr>
          <w:p w14:paraId="0D7CE039">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建筑</w:t>
            </w:r>
            <w:r>
              <w:rPr>
                <w:rFonts w:hint="default" w:ascii="Times New Roman" w:hAnsi="Times New Roman" w:eastAsia="方正黑体_GBK" w:cs="Times New Roman"/>
                <w:spacing w:val="-5"/>
                <w:kern w:val="0"/>
                <w:sz w:val="28"/>
                <w:szCs w:val="28"/>
              </w:rPr>
              <w:t>结</w:t>
            </w:r>
            <w:r>
              <w:rPr>
                <w:rFonts w:hint="default" w:ascii="Times New Roman" w:hAnsi="Times New Roman" w:eastAsia="方正黑体_GBK" w:cs="Times New Roman"/>
                <w:spacing w:val="-4"/>
                <w:kern w:val="0"/>
                <w:sz w:val="28"/>
                <w:szCs w:val="28"/>
              </w:rPr>
              <w:t>构</w:t>
            </w:r>
            <w:r>
              <w:rPr>
                <w:rFonts w:hint="default" w:ascii="Times New Roman" w:hAnsi="Times New Roman" w:eastAsia="方正黑体_GBK" w:cs="Times New Roman"/>
                <w:spacing w:val="-5"/>
                <w:kern w:val="0"/>
                <w:sz w:val="28"/>
                <w:szCs w:val="28"/>
              </w:rPr>
              <w:t>及</w:t>
            </w:r>
            <w:r>
              <w:rPr>
                <w:rFonts w:hint="default" w:ascii="Times New Roman" w:hAnsi="Times New Roman" w:eastAsia="方正黑体_GBK" w:cs="Times New Roman"/>
                <w:spacing w:val="-4"/>
                <w:kern w:val="0"/>
                <w:sz w:val="28"/>
                <w:szCs w:val="28"/>
              </w:rPr>
              <w:t>设施</w:t>
            </w:r>
            <w:r>
              <w:rPr>
                <w:rFonts w:hint="default" w:ascii="Times New Roman" w:hAnsi="Times New Roman" w:eastAsia="方正黑体_GBK" w:cs="Times New Roman"/>
                <w:spacing w:val="-5"/>
                <w:kern w:val="0"/>
                <w:sz w:val="28"/>
                <w:szCs w:val="28"/>
              </w:rPr>
              <w:t>状</w:t>
            </w:r>
            <w:r>
              <w:rPr>
                <w:rFonts w:hint="default" w:ascii="Times New Roman" w:hAnsi="Times New Roman" w:eastAsia="方正黑体_GBK" w:cs="Times New Roman"/>
                <w:kern w:val="0"/>
                <w:sz w:val="28"/>
                <w:szCs w:val="28"/>
              </w:rPr>
              <w:t>况</w:t>
            </w:r>
          </w:p>
        </w:tc>
        <w:tc>
          <w:tcPr>
            <w:tcW w:w="1322" w:type="dxa"/>
            <w:vMerge w:val="restart"/>
            <w:noWrap w:val="0"/>
            <w:vAlign w:val="center"/>
          </w:tcPr>
          <w:p w14:paraId="6ED188C4">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备</w:t>
            </w:r>
            <w:r>
              <w:rPr>
                <w:rFonts w:hint="default" w:ascii="Times New Roman" w:hAnsi="Times New Roman" w:eastAsia="方正黑体_GBK" w:cs="Times New Roman"/>
                <w:kern w:val="0"/>
                <w:sz w:val="28"/>
                <w:szCs w:val="28"/>
              </w:rPr>
              <w:t>注</w:t>
            </w:r>
          </w:p>
        </w:tc>
      </w:tr>
      <w:tr w14:paraId="5C18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627" w:type="dxa"/>
            <w:noWrap w:val="0"/>
            <w:vAlign w:val="center"/>
          </w:tcPr>
          <w:p w14:paraId="6CE77C5C">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结</w:t>
            </w:r>
            <w:r>
              <w:rPr>
                <w:rFonts w:hint="default" w:ascii="Times New Roman" w:hAnsi="Times New Roman" w:eastAsia="方正黑体_GBK" w:cs="Times New Roman"/>
                <w:kern w:val="0"/>
                <w:sz w:val="28"/>
                <w:szCs w:val="28"/>
              </w:rPr>
              <w:t>构</w:t>
            </w:r>
          </w:p>
        </w:tc>
        <w:tc>
          <w:tcPr>
            <w:tcW w:w="518" w:type="dxa"/>
            <w:noWrap w:val="0"/>
            <w:vAlign w:val="center"/>
          </w:tcPr>
          <w:p w14:paraId="76282EEB">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等</w:t>
            </w:r>
            <w:r>
              <w:rPr>
                <w:rFonts w:hint="default" w:ascii="Times New Roman" w:hAnsi="Times New Roman" w:eastAsia="方正黑体_GBK" w:cs="Times New Roman"/>
                <w:kern w:val="0"/>
                <w:sz w:val="28"/>
                <w:szCs w:val="28"/>
              </w:rPr>
              <w:t>级</w:t>
            </w:r>
          </w:p>
        </w:tc>
        <w:tc>
          <w:tcPr>
            <w:tcW w:w="1209" w:type="dxa"/>
            <w:vMerge w:val="continue"/>
            <w:noWrap w:val="0"/>
            <w:vAlign w:val="center"/>
          </w:tcPr>
          <w:p w14:paraId="3C949428">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黑体_GBK" w:cs="Times New Roman"/>
                <w:kern w:val="0"/>
                <w:sz w:val="28"/>
                <w:szCs w:val="28"/>
              </w:rPr>
            </w:pPr>
          </w:p>
        </w:tc>
        <w:tc>
          <w:tcPr>
            <w:tcW w:w="5586" w:type="dxa"/>
            <w:vMerge w:val="continue"/>
            <w:noWrap w:val="0"/>
            <w:vAlign w:val="center"/>
          </w:tcPr>
          <w:p w14:paraId="495F9CEF">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黑体_GBK" w:cs="Times New Roman"/>
                <w:kern w:val="0"/>
                <w:sz w:val="28"/>
                <w:szCs w:val="28"/>
              </w:rPr>
            </w:pPr>
          </w:p>
        </w:tc>
        <w:tc>
          <w:tcPr>
            <w:tcW w:w="1322" w:type="dxa"/>
            <w:vMerge w:val="continue"/>
            <w:noWrap w:val="0"/>
            <w:vAlign w:val="center"/>
          </w:tcPr>
          <w:p w14:paraId="6125BFAB">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黑体_GBK" w:cs="Times New Roman"/>
                <w:kern w:val="0"/>
                <w:sz w:val="28"/>
                <w:szCs w:val="28"/>
              </w:rPr>
            </w:pPr>
          </w:p>
        </w:tc>
      </w:tr>
      <w:tr w14:paraId="663A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45" w:type="dxa"/>
            <w:gridSpan w:val="2"/>
            <w:noWrap w:val="0"/>
            <w:vAlign w:val="center"/>
          </w:tcPr>
          <w:p w14:paraId="246BDCB4">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钢混</w:t>
            </w:r>
          </w:p>
        </w:tc>
        <w:tc>
          <w:tcPr>
            <w:tcW w:w="1209" w:type="dxa"/>
            <w:noWrap w:val="0"/>
            <w:vAlign w:val="center"/>
          </w:tcPr>
          <w:p w14:paraId="74356DA4">
            <w:pPr>
              <w:keepNext w:val="0"/>
              <w:keepLines w:val="0"/>
              <w:pageBreakBefore w:val="0"/>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kern w:val="0"/>
                <w:sz w:val="28"/>
                <w:szCs w:val="28"/>
                <w:lang w:bidi="ar"/>
              </w:rPr>
              <w:t>1637</w:t>
            </w:r>
          </w:p>
        </w:tc>
        <w:tc>
          <w:tcPr>
            <w:tcW w:w="5586" w:type="dxa"/>
            <w:noWrap w:val="0"/>
            <w:vAlign w:val="center"/>
          </w:tcPr>
          <w:p w14:paraId="36397BAE">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钢筋混凝土框架结构，梁柱、现浇整体装配，有水、电、厨、卫等设施配套，且一次性设计施工。</w:t>
            </w:r>
          </w:p>
        </w:tc>
        <w:tc>
          <w:tcPr>
            <w:tcW w:w="1322" w:type="dxa"/>
            <w:noWrap w:val="0"/>
            <w:vAlign w:val="center"/>
          </w:tcPr>
          <w:p w14:paraId="411A748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三层以下框架结构</w:t>
            </w:r>
          </w:p>
        </w:tc>
      </w:tr>
      <w:tr w14:paraId="2FAB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627" w:type="dxa"/>
            <w:vMerge w:val="restart"/>
            <w:noWrap w:val="0"/>
            <w:vAlign w:val="center"/>
          </w:tcPr>
          <w:p w14:paraId="22A45D0A">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混合</w:t>
            </w:r>
          </w:p>
        </w:tc>
        <w:tc>
          <w:tcPr>
            <w:tcW w:w="518" w:type="dxa"/>
            <w:noWrap w:val="0"/>
            <w:vAlign w:val="center"/>
          </w:tcPr>
          <w:p w14:paraId="44717C4E">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w:t>
            </w:r>
          </w:p>
        </w:tc>
        <w:tc>
          <w:tcPr>
            <w:tcW w:w="1209" w:type="dxa"/>
            <w:noWrap w:val="0"/>
            <w:vAlign w:val="center"/>
          </w:tcPr>
          <w:p w14:paraId="6E6DD047">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6"/>
                <w:kern w:val="0"/>
                <w:sz w:val="28"/>
                <w:szCs w:val="28"/>
              </w:rPr>
            </w:pPr>
            <w:r>
              <w:rPr>
                <w:rFonts w:hint="default" w:ascii="Times New Roman" w:hAnsi="Times New Roman" w:eastAsia="方正仿宋_GBK" w:cs="Times New Roman"/>
                <w:kern w:val="0"/>
                <w:sz w:val="28"/>
                <w:szCs w:val="28"/>
                <w:lang w:bidi="ar"/>
              </w:rPr>
              <w:t>1646</w:t>
            </w:r>
          </w:p>
        </w:tc>
        <w:tc>
          <w:tcPr>
            <w:tcW w:w="5586" w:type="dxa"/>
            <w:noWrap w:val="0"/>
            <w:vAlign w:val="center"/>
          </w:tcPr>
          <w:p w14:paraId="57889EBA">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6"/>
                <w:kern w:val="0"/>
                <w:sz w:val="28"/>
                <w:szCs w:val="28"/>
              </w:rPr>
            </w:pPr>
            <w:r>
              <w:rPr>
                <w:rFonts w:hint="default" w:ascii="Times New Roman" w:hAnsi="Times New Roman" w:eastAsia="方正仿宋_GBK" w:cs="Times New Roman"/>
                <w:spacing w:val="-6"/>
                <w:kern w:val="0"/>
                <w:sz w:val="28"/>
                <w:szCs w:val="28"/>
              </w:rPr>
              <w:t>砖墙或部分钢筋混凝土梁柱承重，钢筋混凝土圈梁，构造柱，预制或现浇楼地面，平屋面或瓦屋面，有水、电、厨、卫等设施配套，且一次性设计施工。</w:t>
            </w:r>
          </w:p>
        </w:tc>
        <w:tc>
          <w:tcPr>
            <w:tcW w:w="1322" w:type="dxa"/>
            <w:noWrap w:val="0"/>
            <w:vAlign w:val="center"/>
          </w:tcPr>
          <w:p w14:paraId="11AFE579">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四层以上</w:t>
            </w:r>
          </w:p>
          <w:p w14:paraId="662C8CCE">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（含四层）</w:t>
            </w:r>
          </w:p>
        </w:tc>
      </w:tr>
      <w:tr w14:paraId="1BAE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627" w:type="dxa"/>
            <w:vMerge w:val="continue"/>
            <w:noWrap w:val="0"/>
            <w:vAlign w:val="center"/>
          </w:tcPr>
          <w:p w14:paraId="3837BEED">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p>
        </w:tc>
        <w:tc>
          <w:tcPr>
            <w:tcW w:w="518" w:type="dxa"/>
            <w:noWrap w:val="0"/>
            <w:vAlign w:val="center"/>
          </w:tcPr>
          <w:p w14:paraId="29532315">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w:t>
            </w:r>
          </w:p>
        </w:tc>
        <w:tc>
          <w:tcPr>
            <w:tcW w:w="1209" w:type="dxa"/>
            <w:noWrap w:val="0"/>
            <w:vAlign w:val="center"/>
          </w:tcPr>
          <w:p w14:paraId="345AA147">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kern w:val="0"/>
                <w:sz w:val="28"/>
                <w:szCs w:val="28"/>
                <w:lang w:bidi="ar"/>
              </w:rPr>
              <w:t>1560</w:t>
            </w:r>
          </w:p>
        </w:tc>
        <w:tc>
          <w:tcPr>
            <w:tcW w:w="5586" w:type="dxa"/>
            <w:noWrap w:val="0"/>
            <w:vAlign w:val="center"/>
          </w:tcPr>
          <w:p w14:paraId="56976DEE">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砖墙承重，钢筋混凝土圈梁，构造柱，平屋面或瓦屋面，水泥楼地面，有水、电、厨、卫等设施配套。</w:t>
            </w:r>
          </w:p>
        </w:tc>
        <w:tc>
          <w:tcPr>
            <w:tcW w:w="1322" w:type="dxa"/>
            <w:noWrap w:val="0"/>
            <w:vAlign w:val="center"/>
          </w:tcPr>
          <w:p w14:paraId="708199DB">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三层以下</w:t>
            </w:r>
          </w:p>
        </w:tc>
      </w:tr>
      <w:tr w14:paraId="7A8F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627" w:type="dxa"/>
            <w:vMerge w:val="restart"/>
            <w:noWrap w:val="0"/>
            <w:vAlign w:val="center"/>
          </w:tcPr>
          <w:p w14:paraId="094F6675">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砖木</w:t>
            </w:r>
          </w:p>
        </w:tc>
        <w:tc>
          <w:tcPr>
            <w:tcW w:w="518" w:type="dxa"/>
            <w:noWrap w:val="0"/>
            <w:vAlign w:val="center"/>
          </w:tcPr>
          <w:p w14:paraId="1C1D1D29">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w:t>
            </w:r>
          </w:p>
        </w:tc>
        <w:tc>
          <w:tcPr>
            <w:tcW w:w="1209" w:type="dxa"/>
            <w:noWrap w:val="0"/>
            <w:vAlign w:val="center"/>
          </w:tcPr>
          <w:p w14:paraId="13A5AF70">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5"/>
                <w:kern w:val="0"/>
                <w:sz w:val="28"/>
                <w:szCs w:val="28"/>
              </w:rPr>
            </w:pPr>
            <w:r>
              <w:rPr>
                <w:rFonts w:hint="default" w:ascii="Times New Roman" w:hAnsi="Times New Roman" w:eastAsia="方正仿宋_GBK" w:cs="Times New Roman"/>
                <w:kern w:val="0"/>
                <w:sz w:val="28"/>
                <w:szCs w:val="28"/>
                <w:lang w:bidi="ar"/>
              </w:rPr>
              <w:t>1374</w:t>
            </w:r>
          </w:p>
        </w:tc>
        <w:tc>
          <w:tcPr>
            <w:tcW w:w="5586" w:type="dxa"/>
            <w:noWrap w:val="0"/>
            <w:vAlign w:val="center"/>
          </w:tcPr>
          <w:p w14:paraId="77749E71">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5"/>
                <w:kern w:val="0"/>
                <w:sz w:val="28"/>
                <w:szCs w:val="28"/>
              </w:rPr>
            </w:pPr>
            <w:r>
              <w:rPr>
                <w:rFonts w:hint="default" w:ascii="Times New Roman" w:hAnsi="Times New Roman" w:eastAsia="方正仿宋_GBK" w:cs="Times New Roman"/>
                <w:spacing w:val="-5"/>
                <w:kern w:val="0"/>
                <w:sz w:val="28"/>
                <w:szCs w:val="28"/>
              </w:rPr>
              <w:t>砖墙承重，钢（木）屋架，瓦屋面，水泥或木地面，有水、电、厨、卫等设施</w:t>
            </w:r>
            <w:r>
              <w:rPr>
                <w:rFonts w:hint="default" w:ascii="Times New Roman" w:hAnsi="Times New Roman" w:eastAsia="方正仿宋_GBK" w:cs="Times New Roman"/>
                <w:spacing w:val="-4"/>
                <w:kern w:val="0"/>
                <w:sz w:val="28"/>
                <w:szCs w:val="28"/>
              </w:rPr>
              <w:t>配套</w:t>
            </w:r>
            <w:r>
              <w:rPr>
                <w:rFonts w:hint="default" w:ascii="Times New Roman" w:hAnsi="Times New Roman" w:eastAsia="方正仿宋_GBK" w:cs="Times New Roman"/>
                <w:spacing w:val="-5"/>
                <w:kern w:val="0"/>
                <w:sz w:val="28"/>
                <w:szCs w:val="28"/>
              </w:rPr>
              <w:t>。</w:t>
            </w:r>
          </w:p>
        </w:tc>
        <w:tc>
          <w:tcPr>
            <w:tcW w:w="1322" w:type="dxa"/>
            <w:noWrap w:val="0"/>
            <w:vAlign w:val="center"/>
          </w:tcPr>
          <w:p w14:paraId="289E903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二层（含二层）以上</w:t>
            </w:r>
          </w:p>
        </w:tc>
      </w:tr>
      <w:tr w14:paraId="2163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627" w:type="dxa"/>
            <w:vMerge w:val="continue"/>
            <w:noWrap w:val="0"/>
            <w:vAlign w:val="center"/>
          </w:tcPr>
          <w:p w14:paraId="7DDC352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p>
        </w:tc>
        <w:tc>
          <w:tcPr>
            <w:tcW w:w="518" w:type="dxa"/>
            <w:noWrap w:val="0"/>
            <w:vAlign w:val="center"/>
          </w:tcPr>
          <w:p w14:paraId="54B0EAB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w:t>
            </w:r>
          </w:p>
        </w:tc>
        <w:tc>
          <w:tcPr>
            <w:tcW w:w="1209" w:type="dxa"/>
            <w:noWrap w:val="0"/>
            <w:vAlign w:val="center"/>
          </w:tcPr>
          <w:p w14:paraId="73D83425">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5"/>
                <w:kern w:val="0"/>
                <w:sz w:val="28"/>
                <w:szCs w:val="28"/>
              </w:rPr>
            </w:pPr>
            <w:r>
              <w:rPr>
                <w:rFonts w:hint="default" w:ascii="Times New Roman" w:hAnsi="Times New Roman" w:eastAsia="方正仿宋_GBK" w:cs="Times New Roman"/>
                <w:kern w:val="0"/>
                <w:sz w:val="28"/>
                <w:szCs w:val="28"/>
                <w:lang w:bidi="ar"/>
              </w:rPr>
              <w:t>1248</w:t>
            </w:r>
          </w:p>
        </w:tc>
        <w:tc>
          <w:tcPr>
            <w:tcW w:w="5586" w:type="dxa"/>
            <w:noWrap w:val="0"/>
            <w:vAlign w:val="center"/>
          </w:tcPr>
          <w:p w14:paraId="377A73F6">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5"/>
                <w:kern w:val="0"/>
                <w:sz w:val="28"/>
                <w:szCs w:val="28"/>
              </w:rPr>
            </w:pPr>
            <w:r>
              <w:rPr>
                <w:rFonts w:hint="default" w:ascii="Times New Roman" w:hAnsi="Times New Roman" w:eastAsia="方正仿宋_GBK" w:cs="Times New Roman"/>
                <w:spacing w:val="-5"/>
                <w:kern w:val="0"/>
                <w:sz w:val="28"/>
                <w:szCs w:val="28"/>
              </w:rPr>
              <w:t>钢（木）屋架，瓦屋面，砖墙围护，水泥或木地面，有水、电设施</w:t>
            </w:r>
            <w:r>
              <w:rPr>
                <w:rFonts w:hint="default" w:ascii="Times New Roman" w:hAnsi="Times New Roman" w:eastAsia="方正仿宋_GBK" w:cs="Times New Roman"/>
                <w:spacing w:val="-4"/>
                <w:kern w:val="0"/>
                <w:sz w:val="28"/>
                <w:szCs w:val="28"/>
              </w:rPr>
              <w:t>配套</w:t>
            </w:r>
            <w:r>
              <w:rPr>
                <w:rFonts w:hint="default" w:ascii="Times New Roman" w:hAnsi="Times New Roman" w:eastAsia="方正仿宋_GBK" w:cs="Times New Roman"/>
                <w:spacing w:val="-5"/>
                <w:kern w:val="0"/>
                <w:sz w:val="28"/>
                <w:szCs w:val="28"/>
              </w:rPr>
              <w:t>。</w:t>
            </w:r>
          </w:p>
        </w:tc>
        <w:tc>
          <w:tcPr>
            <w:tcW w:w="1322" w:type="dxa"/>
            <w:noWrap w:val="0"/>
            <w:vAlign w:val="center"/>
          </w:tcPr>
          <w:p w14:paraId="4178DA0C">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单层</w:t>
            </w:r>
          </w:p>
        </w:tc>
      </w:tr>
      <w:tr w14:paraId="7BC9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627" w:type="dxa"/>
            <w:vMerge w:val="restart"/>
            <w:noWrap w:val="0"/>
            <w:vAlign w:val="center"/>
          </w:tcPr>
          <w:p w14:paraId="4AE0F51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简易</w:t>
            </w:r>
          </w:p>
        </w:tc>
        <w:tc>
          <w:tcPr>
            <w:tcW w:w="518" w:type="dxa"/>
            <w:noWrap w:val="0"/>
            <w:vAlign w:val="center"/>
          </w:tcPr>
          <w:p w14:paraId="0962B7DB">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w:t>
            </w:r>
          </w:p>
        </w:tc>
        <w:tc>
          <w:tcPr>
            <w:tcW w:w="1209" w:type="dxa"/>
            <w:noWrap w:val="0"/>
            <w:vAlign w:val="center"/>
          </w:tcPr>
          <w:p w14:paraId="3CA00355">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4"/>
                <w:kern w:val="0"/>
                <w:position w:val="-4"/>
                <w:sz w:val="28"/>
                <w:szCs w:val="28"/>
              </w:rPr>
            </w:pPr>
            <w:r>
              <w:rPr>
                <w:rFonts w:hint="default" w:ascii="Times New Roman" w:hAnsi="Times New Roman" w:eastAsia="方正仿宋_GBK" w:cs="Times New Roman"/>
                <w:kern w:val="0"/>
                <w:sz w:val="28"/>
                <w:szCs w:val="28"/>
                <w:lang w:bidi="ar"/>
              </w:rPr>
              <w:t>633</w:t>
            </w:r>
          </w:p>
        </w:tc>
        <w:tc>
          <w:tcPr>
            <w:tcW w:w="5586" w:type="dxa"/>
            <w:noWrap w:val="0"/>
            <w:vAlign w:val="center"/>
          </w:tcPr>
          <w:p w14:paraId="62952A67">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4"/>
                <w:kern w:val="0"/>
                <w:position w:val="-4"/>
                <w:sz w:val="28"/>
                <w:szCs w:val="28"/>
              </w:rPr>
            </w:pPr>
            <w:r>
              <w:rPr>
                <w:rFonts w:hint="default" w:ascii="Times New Roman" w:hAnsi="Times New Roman" w:eastAsia="方正仿宋_GBK" w:cs="Times New Roman"/>
                <w:spacing w:val="-4"/>
                <w:kern w:val="0"/>
                <w:position w:val="-4"/>
                <w:sz w:val="28"/>
                <w:szCs w:val="28"/>
              </w:rPr>
              <w:t>不规则木或预制屋架，瓦屋面，砖或水泥地面，有水、电设施配套。</w:t>
            </w:r>
          </w:p>
        </w:tc>
        <w:tc>
          <w:tcPr>
            <w:tcW w:w="1322" w:type="dxa"/>
            <w:vMerge w:val="restart"/>
            <w:noWrap w:val="0"/>
            <w:vAlign w:val="center"/>
          </w:tcPr>
          <w:p w14:paraId="53B88F15">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spacing w:val="-8"/>
                <w:kern w:val="0"/>
                <w:sz w:val="28"/>
                <w:szCs w:val="28"/>
              </w:rPr>
            </w:pPr>
            <w:r>
              <w:rPr>
                <w:rFonts w:hint="default" w:ascii="Times New Roman" w:hAnsi="Times New Roman" w:eastAsia="方正仿宋_GBK" w:cs="Times New Roman"/>
                <w:spacing w:val="-8"/>
                <w:kern w:val="0"/>
                <w:sz w:val="28"/>
                <w:szCs w:val="28"/>
              </w:rPr>
              <w:t>含其他结构</w:t>
            </w:r>
          </w:p>
        </w:tc>
      </w:tr>
      <w:tr w14:paraId="726E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627" w:type="dxa"/>
            <w:vMerge w:val="continue"/>
            <w:noWrap w:val="0"/>
            <w:vAlign w:val="center"/>
          </w:tcPr>
          <w:p w14:paraId="0640AA0E">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p>
        </w:tc>
        <w:tc>
          <w:tcPr>
            <w:tcW w:w="518" w:type="dxa"/>
            <w:noWrap w:val="0"/>
            <w:vAlign w:val="center"/>
          </w:tcPr>
          <w:p w14:paraId="561D6F1B">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w:t>
            </w:r>
          </w:p>
        </w:tc>
        <w:tc>
          <w:tcPr>
            <w:tcW w:w="1209" w:type="dxa"/>
            <w:noWrap w:val="0"/>
            <w:vAlign w:val="center"/>
          </w:tcPr>
          <w:p w14:paraId="086A3AA5">
            <w:pPr>
              <w:keepNext w:val="0"/>
              <w:keepLines w:val="0"/>
              <w:pageBreakBefore w:val="0"/>
              <w:widowControl/>
              <w:kinsoku/>
              <w:wordWrap/>
              <w:overflowPunct/>
              <w:topLinePunct w:val="0"/>
              <w:bidi w:val="0"/>
              <w:adjustRightInd w:val="0"/>
              <w:snapToGrid w:val="0"/>
              <w:spacing w:line="360" w:lineRule="exact"/>
              <w:jc w:val="center"/>
              <w:textAlignment w:val="center"/>
              <w:rPr>
                <w:rFonts w:hint="default" w:ascii="Times New Roman" w:hAnsi="Times New Roman" w:eastAsia="方正仿宋_GBK" w:cs="Times New Roman"/>
                <w:spacing w:val="-4"/>
                <w:kern w:val="0"/>
                <w:position w:val="-4"/>
                <w:sz w:val="28"/>
                <w:szCs w:val="28"/>
              </w:rPr>
            </w:pPr>
            <w:r>
              <w:rPr>
                <w:rFonts w:hint="default" w:ascii="Times New Roman" w:hAnsi="Times New Roman" w:eastAsia="方正仿宋_GBK" w:cs="Times New Roman"/>
                <w:kern w:val="0"/>
                <w:sz w:val="28"/>
                <w:szCs w:val="28"/>
                <w:lang w:bidi="ar"/>
              </w:rPr>
              <w:t>466</w:t>
            </w:r>
          </w:p>
        </w:tc>
        <w:tc>
          <w:tcPr>
            <w:tcW w:w="5586" w:type="dxa"/>
            <w:noWrap w:val="0"/>
            <w:vAlign w:val="center"/>
          </w:tcPr>
          <w:p w14:paraId="598F401A">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spacing w:val="-4"/>
                <w:kern w:val="0"/>
                <w:position w:val="-4"/>
                <w:sz w:val="28"/>
                <w:szCs w:val="28"/>
              </w:rPr>
            </w:pPr>
            <w:r>
              <w:rPr>
                <w:rFonts w:hint="default" w:ascii="Times New Roman" w:hAnsi="Times New Roman" w:eastAsia="方正仿宋_GBK" w:cs="Times New Roman"/>
                <w:spacing w:val="-4"/>
                <w:kern w:val="0"/>
                <w:position w:val="-4"/>
                <w:sz w:val="28"/>
                <w:szCs w:val="28"/>
              </w:rPr>
              <w:t>不规则木或竹屋架，各类屋面，竹、木板或土墙，三合土或简易水泥地面，有电设施配套。</w:t>
            </w:r>
          </w:p>
        </w:tc>
        <w:tc>
          <w:tcPr>
            <w:tcW w:w="1322" w:type="dxa"/>
            <w:vMerge w:val="continue"/>
            <w:noWrap w:val="0"/>
            <w:vAlign w:val="center"/>
          </w:tcPr>
          <w:p w14:paraId="421A2FCF">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kern w:val="0"/>
                <w:sz w:val="28"/>
                <w:szCs w:val="28"/>
              </w:rPr>
            </w:pPr>
          </w:p>
        </w:tc>
      </w:tr>
      <w:tr w14:paraId="277C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9" w:hRule="atLeast"/>
          <w:jc w:val="center"/>
        </w:trPr>
        <w:tc>
          <w:tcPr>
            <w:tcW w:w="2354" w:type="dxa"/>
            <w:gridSpan w:val="3"/>
            <w:noWrap w:val="0"/>
            <w:vAlign w:val="center"/>
          </w:tcPr>
          <w:p w14:paraId="588FFDD2">
            <w:pPr>
              <w:keepNext w:val="0"/>
              <w:keepLines w:val="0"/>
              <w:pageBreakBefore w:val="0"/>
              <w:kinsoku/>
              <w:wordWrap/>
              <w:overflowPunct/>
              <w:topLinePunct w:val="0"/>
              <w:autoSpaceDE w:val="0"/>
              <w:autoSpaceDN w:val="0"/>
              <w:bidi w:val="0"/>
              <w:adjustRightInd w:val="0"/>
              <w:snapToGrid w:val="0"/>
              <w:spacing w:line="360" w:lineRule="exact"/>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rPr>
              <w:t>说明</w:t>
            </w:r>
          </w:p>
        </w:tc>
        <w:tc>
          <w:tcPr>
            <w:tcW w:w="6908" w:type="dxa"/>
            <w:gridSpan w:val="2"/>
            <w:noWrap w:val="0"/>
            <w:vAlign w:val="center"/>
          </w:tcPr>
          <w:p w14:paraId="51E5A7DF">
            <w:pPr>
              <w:keepNext w:val="0"/>
              <w:keepLines w:val="0"/>
              <w:pageBreakBefore w:val="0"/>
              <w:kinsoku/>
              <w:wordWrap/>
              <w:overflowPunct/>
              <w:topLinePunct w:val="0"/>
              <w:bidi w:val="0"/>
              <w:adjustRightInd w:val="0"/>
              <w:snapToGrid w:val="0"/>
              <w:spacing w:line="360" w:lineRule="exact"/>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rPr>
              <w:t>1.</w:t>
            </w:r>
            <w:r>
              <w:rPr>
                <w:rFonts w:hint="default" w:ascii="Times New Roman" w:hAnsi="Times New Roman" w:eastAsia="方正仿宋_GBK" w:cs="Times New Roman"/>
                <w:kern w:val="0"/>
                <w:sz w:val="28"/>
                <w:szCs w:val="28"/>
              </w:rPr>
              <w:t>住宅房屋的重置价格按上述标准计算；</w:t>
            </w:r>
          </w:p>
          <w:p w14:paraId="50332A5C">
            <w:pPr>
              <w:keepNext w:val="0"/>
              <w:keepLines w:val="0"/>
              <w:pageBreakBefore w:val="0"/>
              <w:kinsoku/>
              <w:wordWrap/>
              <w:overflowPunct/>
              <w:topLinePunct w:val="0"/>
              <w:autoSpaceDE w:val="0"/>
              <w:autoSpaceDN w:val="0"/>
              <w:bidi w:val="0"/>
              <w:adjustRightInd w:val="0"/>
              <w:snapToGrid w:val="0"/>
              <w:spacing w:line="360" w:lineRule="exact"/>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rPr>
              <w:t>2.</w:t>
            </w:r>
            <w:r>
              <w:rPr>
                <w:rFonts w:hint="default" w:ascii="Times New Roman" w:hAnsi="Times New Roman" w:eastAsia="方正仿宋_GBK" w:cs="Times New Roman"/>
                <w:kern w:val="0"/>
                <w:sz w:val="28"/>
                <w:szCs w:val="28"/>
              </w:rPr>
              <w:t>被征收人对住宅房屋重置价格有异议的，可书面申请有资质的房地产价格评估机构另行评估。</w:t>
            </w:r>
          </w:p>
        </w:tc>
      </w:tr>
    </w:tbl>
    <w:p w14:paraId="304F638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二、住宅房屋区位价格</w:t>
      </w:r>
    </w:p>
    <w:tbl>
      <w:tblPr>
        <w:tblStyle w:val="8"/>
        <w:tblW w:w="9090" w:type="dxa"/>
        <w:jc w:val="center"/>
        <w:tblLayout w:type="fixed"/>
        <w:tblCellMar>
          <w:top w:w="0" w:type="dxa"/>
          <w:left w:w="0" w:type="dxa"/>
          <w:bottom w:w="0" w:type="dxa"/>
          <w:right w:w="0" w:type="dxa"/>
        </w:tblCellMar>
      </w:tblPr>
      <w:tblGrid>
        <w:gridCol w:w="750"/>
        <w:gridCol w:w="1125"/>
        <w:gridCol w:w="7215"/>
      </w:tblGrid>
      <w:tr w14:paraId="493CE04E">
        <w:tblPrEx>
          <w:tblCellMar>
            <w:top w:w="0" w:type="dxa"/>
            <w:left w:w="0" w:type="dxa"/>
            <w:bottom w:w="0" w:type="dxa"/>
            <w:right w:w="0" w:type="dxa"/>
          </w:tblCellMar>
        </w:tblPrEx>
        <w:trPr>
          <w:trHeight w:val="728"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E51F1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position w:val="-4"/>
                <w:sz w:val="28"/>
                <w:szCs w:val="28"/>
              </w:rPr>
              <w:t>区</w:t>
            </w:r>
            <w:r>
              <w:rPr>
                <w:rFonts w:hint="default" w:ascii="Times New Roman" w:hAnsi="Times New Roman" w:eastAsia="方正黑体_GBK" w:cs="Times New Roman"/>
                <w:kern w:val="0"/>
                <w:position w:val="-4"/>
                <w:sz w:val="28"/>
                <w:szCs w:val="28"/>
              </w:rPr>
              <w:t>位</w:t>
            </w:r>
          </w:p>
          <w:p w14:paraId="1CEE12FA">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4"/>
                <w:kern w:val="0"/>
                <w:sz w:val="28"/>
                <w:szCs w:val="28"/>
              </w:rPr>
              <w:t>类</w:t>
            </w:r>
            <w:r>
              <w:rPr>
                <w:rFonts w:hint="default" w:ascii="Times New Roman" w:hAnsi="Times New Roman" w:eastAsia="方正黑体_GBK" w:cs="Times New Roman"/>
                <w:kern w:val="0"/>
                <w:sz w:val="28"/>
                <w:szCs w:val="28"/>
              </w:rPr>
              <w:t>别</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89B35E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spacing w:val="-10"/>
                <w:kern w:val="0"/>
                <w:sz w:val="28"/>
                <w:szCs w:val="28"/>
              </w:rPr>
            </w:pPr>
            <w:r>
              <w:rPr>
                <w:rFonts w:hint="default" w:ascii="Times New Roman" w:hAnsi="Times New Roman" w:eastAsia="方正黑体_GBK" w:cs="Times New Roman"/>
                <w:spacing w:val="-10"/>
                <w:kern w:val="0"/>
                <w:position w:val="-4"/>
                <w:sz w:val="28"/>
                <w:szCs w:val="28"/>
              </w:rPr>
              <w:t>区位价格</w:t>
            </w:r>
          </w:p>
          <w:p w14:paraId="015B43D1">
            <w:pPr>
              <w:keepNext w:val="0"/>
              <w:keepLines w:val="0"/>
              <w:pageBreakBefore w:val="0"/>
              <w:widowControl w:val="0"/>
              <w:tabs>
                <w:tab w:val="left" w:pos="3500"/>
              </w:tabs>
              <w:kinsoku/>
              <w:wordWrap/>
              <w:overflowPunct/>
              <w:topLinePunct w:val="0"/>
              <w:autoSpaceDE w:val="0"/>
              <w:autoSpaceDN w:val="0"/>
              <w:bidi w:val="0"/>
              <w:adjustRightInd w:val="0"/>
              <w:snapToGrid w:val="0"/>
              <w:spacing w:line="360" w:lineRule="exact"/>
              <w:ind w:left="-105" w:leftChars="-50" w:right="-105" w:rightChars="-50"/>
              <w:jc w:val="center"/>
              <w:textAlignment w:val="auto"/>
              <w:rPr>
                <w:rFonts w:hint="default" w:ascii="Times New Roman" w:hAnsi="Times New Roman" w:eastAsia="方正黑体_GBK" w:cs="Times New Roman"/>
                <w:w w:val="95"/>
                <w:sz w:val="28"/>
                <w:szCs w:val="28"/>
              </w:rPr>
            </w:pPr>
            <w:r>
              <w:rPr>
                <w:rFonts w:hint="default" w:ascii="Times New Roman" w:hAnsi="Times New Roman" w:eastAsia="方正黑体_GBK" w:cs="Times New Roman"/>
                <w:spacing w:val="-14"/>
                <w:w w:val="95"/>
                <w:kern w:val="0"/>
                <w:sz w:val="28"/>
                <w:szCs w:val="28"/>
              </w:rPr>
              <w:t>（元</w:t>
            </w:r>
            <w:r>
              <w:rPr>
                <w:rFonts w:hint="default" w:ascii="Times New Roman" w:hAnsi="Times New Roman" w:eastAsia="方正黑体_GBK" w:cs="Times New Roman"/>
                <w:b/>
                <w:bCs/>
                <w:spacing w:val="-14"/>
                <w:w w:val="95"/>
                <w:kern w:val="0"/>
                <w:sz w:val="28"/>
                <w:szCs w:val="28"/>
              </w:rPr>
              <w:t>/</w:t>
            </w:r>
            <w:r>
              <w:rPr>
                <w:rFonts w:hint="default" w:ascii="Times New Roman" w:hAnsi="Times New Roman" w:eastAsia="方正黑体_GBK" w:cs="Times New Roman"/>
                <w:bCs/>
                <w:spacing w:val="-14"/>
                <w:w w:val="95"/>
                <w:kern w:val="0"/>
                <w:sz w:val="28"/>
                <w:szCs w:val="28"/>
              </w:rPr>
              <w:t>平方米</w:t>
            </w:r>
            <w:r>
              <w:rPr>
                <w:rFonts w:hint="default" w:ascii="Times New Roman" w:hAnsi="Times New Roman" w:eastAsia="方正黑体_GBK" w:cs="Times New Roman"/>
                <w:spacing w:val="-14"/>
                <w:w w:val="95"/>
                <w:kern w:val="0"/>
                <w:sz w:val="28"/>
                <w:szCs w:val="28"/>
              </w:rPr>
              <w:t>）</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68DB5C83">
            <w:pPr>
              <w:keepNext w:val="0"/>
              <w:keepLines w:val="0"/>
              <w:pageBreakBefore w:val="0"/>
              <w:widowControl w:val="0"/>
              <w:tabs>
                <w:tab w:val="left" w:pos="3500"/>
              </w:tabs>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kern w:val="0"/>
                <w:sz w:val="28"/>
                <w:szCs w:val="28"/>
              </w:rPr>
              <w:t>范    围</w:t>
            </w:r>
          </w:p>
        </w:tc>
      </w:tr>
      <w:tr w14:paraId="48BABF09">
        <w:tblPrEx>
          <w:tblCellMar>
            <w:top w:w="0" w:type="dxa"/>
            <w:left w:w="0" w:type="dxa"/>
            <w:bottom w:w="0" w:type="dxa"/>
            <w:right w:w="0" w:type="dxa"/>
          </w:tblCellMar>
        </w:tblPrEx>
        <w:trPr>
          <w:trHeight w:val="728"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00603B">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position w:val="-4"/>
                <w:sz w:val="28"/>
                <w:szCs w:val="28"/>
              </w:rPr>
              <w:t>一</w:t>
            </w:r>
            <w:r>
              <w:rPr>
                <w:rFonts w:hint="default" w:ascii="Times New Roman" w:hAnsi="Times New Roman" w:eastAsia="方正仿宋_GBK" w:cs="Times New Roman"/>
                <w:kern w:val="0"/>
                <w:sz w:val="28"/>
                <w:szCs w:val="28"/>
              </w:rPr>
              <w:t>类</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E85B412">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7090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59F5468D">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rPr>
              <w:t>长江—赤铸山西路—芜宁铁路—皖赣铁路—弋江中路—青弋江—芜铜铁路—利民中路—利民西路—长江</w:t>
            </w:r>
          </w:p>
        </w:tc>
      </w:tr>
      <w:tr w14:paraId="5A0FF1DF">
        <w:tblPrEx>
          <w:tblCellMar>
            <w:top w:w="0" w:type="dxa"/>
            <w:left w:w="0" w:type="dxa"/>
            <w:bottom w:w="0" w:type="dxa"/>
            <w:right w:w="0" w:type="dxa"/>
          </w:tblCellMar>
        </w:tblPrEx>
        <w:trPr>
          <w:trHeight w:val="1079" w:hRule="atLeast"/>
          <w:jc w:val="center"/>
        </w:trPr>
        <w:tc>
          <w:tcPr>
            <w:tcW w:w="750" w:type="dxa"/>
            <w:vMerge w:val="restart"/>
            <w:tcBorders>
              <w:top w:val="single" w:color="000000" w:sz="4" w:space="0"/>
              <w:left w:val="single" w:color="000000" w:sz="4" w:space="0"/>
              <w:right w:val="single" w:color="000000" w:sz="4" w:space="0"/>
            </w:tcBorders>
            <w:noWrap w:val="0"/>
            <w:vAlign w:val="center"/>
          </w:tcPr>
          <w:p w14:paraId="38F74CC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bookmarkStart w:id="1" w:name="_Hlk120721486"/>
            <w:r>
              <w:rPr>
                <w:rFonts w:hint="default" w:ascii="Times New Roman" w:hAnsi="Times New Roman" w:eastAsia="方正仿宋_GBK" w:cs="Times New Roman"/>
                <w:kern w:val="0"/>
                <w:position w:val="-4"/>
                <w:sz w:val="28"/>
                <w:szCs w:val="28"/>
              </w:rPr>
              <w:t>二类</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67805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6160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04AB01CC">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1级：①长江—地方铁路—长江大桥引桥—弋江中路—赤铸山东路—扁担河—神山路—海晏路—青弋江—松元路—利民东路—弋江南路—大工山路—长江（扣除该范围内一类区域）</w:t>
            </w:r>
          </w:p>
          <w:p w14:paraId="36D50ED9">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②芜宣高速—赤铸山东路—弋江北路—芜宣高速</w:t>
            </w:r>
          </w:p>
        </w:tc>
      </w:tr>
      <w:bookmarkEnd w:id="1"/>
      <w:tr w14:paraId="628957A1">
        <w:tblPrEx>
          <w:tblCellMar>
            <w:top w:w="0" w:type="dxa"/>
            <w:left w:w="0" w:type="dxa"/>
            <w:bottom w:w="0" w:type="dxa"/>
            <w:right w:w="0" w:type="dxa"/>
          </w:tblCellMar>
        </w:tblPrEx>
        <w:trPr>
          <w:trHeight w:val="935" w:hRule="atLeast"/>
          <w:jc w:val="center"/>
        </w:trPr>
        <w:tc>
          <w:tcPr>
            <w:tcW w:w="750" w:type="dxa"/>
            <w:vMerge w:val="continue"/>
            <w:tcBorders>
              <w:left w:val="single" w:color="000000" w:sz="4" w:space="0"/>
              <w:right w:val="single" w:color="000000" w:sz="4" w:space="0"/>
            </w:tcBorders>
            <w:noWrap w:val="0"/>
            <w:vAlign w:val="center"/>
          </w:tcPr>
          <w:p w14:paraId="5DB995A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B7029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5360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788F1121">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2级：①青弋江—中江大道—大工山路—弋江南路—利民东路—松元路—青弋江</w:t>
            </w:r>
          </w:p>
          <w:p w14:paraId="3C1609B1">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②漳河—大工山路—芜铜铁路—峨山东路—漳河</w:t>
            </w:r>
          </w:p>
          <w:p w14:paraId="4D8688D3">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③神山路—扁担河—青弋江—海晏路—神山路</w:t>
            </w:r>
          </w:p>
        </w:tc>
      </w:tr>
      <w:tr w14:paraId="2CDBFF67">
        <w:tblPrEx>
          <w:tblCellMar>
            <w:top w:w="0" w:type="dxa"/>
            <w:left w:w="0" w:type="dxa"/>
            <w:bottom w:w="0" w:type="dxa"/>
            <w:right w:w="0" w:type="dxa"/>
          </w:tblCellMar>
        </w:tblPrEx>
        <w:trPr>
          <w:trHeight w:val="1511" w:hRule="atLeast"/>
          <w:jc w:val="center"/>
        </w:trPr>
        <w:tc>
          <w:tcPr>
            <w:tcW w:w="750" w:type="dxa"/>
            <w:vMerge w:val="continue"/>
            <w:tcBorders>
              <w:left w:val="single" w:color="000000" w:sz="4" w:space="0"/>
              <w:bottom w:val="single" w:color="000000" w:sz="4" w:space="0"/>
              <w:right w:val="single" w:color="000000" w:sz="4" w:space="0"/>
            </w:tcBorders>
            <w:noWrap w:val="0"/>
            <w:vAlign w:val="center"/>
          </w:tcPr>
          <w:p w14:paraId="300B78B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bookmarkStart w:id="2" w:name="_Hlk120722183"/>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C6AD86">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4250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262AE715">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级：①长江—新电厂北—长江北路—规划道路—银湖北路延伸段—汽纬一路—凤鸣湖南路—港湾路—鑫龙电器北—九华北路—中兴机械北道路—芜湖东站—芜宁铁路—飞机场南侧围墙—扁担河—芜宣高速—长江大桥引桥—地方铁路—长江</w:t>
            </w:r>
          </w:p>
          <w:p w14:paraId="1F676CAA">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②神山路—扁担河—青弋江—海晏路—神山路</w:t>
            </w:r>
          </w:p>
          <w:p w14:paraId="33681946">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③</w:t>
            </w:r>
            <w:r>
              <w:rPr>
                <w:rFonts w:hint="default" w:ascii="Times New Roman" w:hAnsi="Times New Roman" w:eastAsia="方正仿宋_GBK" w:cs="Times New Roman"/>
                <w:spacing w:val="-6"/>
                <w:sz w:val="28"/>
                <w:szCs w:val="28"/>
              </w:rPr>
              <w:t>大工山路—中江大道—水系—漳河—峨山东路—芜铜铁路—大工山路</w:t>
            </w:r>
          </w:p>
        </w:tc>
      </w:tr>
      <w:bookmarkEnd w:id="2"/>
      <w:tr w14:paraId="4207404A">
        <w:tblPrEx>
          <w:tblCellMar>
            <w:top w:w="0" w:type="dxa"/>
            <w:left w:w="0" w:type="dxa"/>
            <w:bottom w:w="0" w:type="dxa"/>
            <w:right w:w="0" w:type="dxa"/>
          </w:tblCellMar>
        </w:tblPrEx>
        <w:trPr>
          <w:trHeight w:val="900" w:hRule="atLeast"/>
          <w:jc w:val="center"/>
        </w:trPr>
        <w:tc>
          <w:tcPr>
            <w:tcW w:w="750" w:type="dxa"/>
            <w:vMerge w:val="restart"/>
            <w:tcBorders>
              <w:top w:val="single" w:color="000000" w:sz="4" w:space="0"/>
              <w:left w:val="single" w:color="000000" w:sz="4" w:space="0"/>
              <w:right w:val="single" w:color="000000" w:sz="4" w:space="0"/>
            </w:tcBorders>
            <w:noWrap w:val="0"/>
            <w:vAlign w:val="center"/>
          </w:tcPr>
          <w:p w14:paraId="7B6CA0C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r>
              <w:rPr>
                <w:rFonts w:hint="default" w:ascii="Times New Roman" w:hAnsi="Times New Roman" w:eastAsia="方正仿宋_GBK" w:cs="Times New Roman"/>
                <w:kern w:val="0"/>
                <w:position w:val="-4"/>
                <w:sz w:val="28"/>
                <w:szCs w:val="28"/>
              </w:rPr>
              <w:t>三类</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A6650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3300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7F5D5891">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级：①长江—北边界—东边界—沿江高速—芜宣高速—梦溪路—北京东路—芜屯路—规划道路—沿江高速—扁担河—飞翔路—芜宁铁路—芜湖东站—中兴机械北道路—九华北路—鑫龙电器北—港湾路—凤鸣湖南路—汽纬一路—银湖北路延伸段—规划道路—长江北路—新电厂北—长江</w:t>
            </w:r>
          </w:p>
          <w:p w14:paraId="0C0C8F91">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w:t>
            </w:r>
            <w:r>
              <w:rPr>
                <w:rFonts w:hint="default" w:ascii="Times New Roman" w:hAnsi="Times New Roman" w:eastAsia="方正仿宋_GBK" w:cs="Times New Roman"/>
                <w:spacing w:val="-4"/>
                <w:sz w:val="28"/>
                <w:szCs w:val="28"/>
              </w:rPr>
              <w:t>青弋江—荆山河—沿江高速—大工山路延伸段—中江大道—青弋江</w:t>
            </w:r>
          </w:p>
        </w:tc>
      </w:tr>
      <w:tr w14:paraId="1C3F375C">
        <w:tblPrEx>
          <w:tblCellMar>
            <w:top w:w="0" w:type="dxa"/>
            <w:left w:w="0" w:type="dxa"/>
            <w:bottom w:w="0" w:type="dxa"/>
            <w:right w:w="0" w:type="dxa"/>
          </w:tblCellMar>
        </w:tblPrEx>
        <w:trPr>
          <w:trHeight w:val="2508" w:hRule="atLeast"/>
          <w:jc w:val="center"/>
        </w:trPr>
        <w:tc>
          <w:tcPr>
            <w:tcW w:w="750" w:type="dxa"/>
            <w:vMerge w:val="continue"/>
            <w:tcBorders>
              <w:left w:val="single" w:color="000000" w:sz="4" w:space="0"/>
              <w:bottom w:val="single" w:color="000000" w:sz="4" w:space="0"/>
              <w:right w:val="single" w:color="000000" w:sz="4" w:space="0"/>
            </w:tcBorders>
            <w:noWrap w:val="0"/>
            <w:vAlign w:val="center"/>
          </w:tcPr>
          <w:p w14:paraId="36A6A346">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B90A1E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2980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0E41152A">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2级：①北边界—水系—清水河路—北京东路—梦溪路—芜宣高速—沿江高速—北边界</w:t>
            </w:r>
          </w:p>
          <w:p w14:paraId="3CECFF2F">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青弋江—扁担河—沿江高速—规划道路—芜屯路—清水河—青弋江—水系—荆山河—火龙路—两湖—芜铜铁路—规划道路—规划道路—白马山路—长江南路—水系—中江大道—大工山路延伸段—沿江高速—荆山河—青弋江</w:t>
            </w:r>
          </w:p>
          <w:p w14:paraId="45D03D15">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③长江—漳河—峨溪河—西边界—横山河—小江—长江</w:t>
            </w:r>
          </w:p>
          <w:p w14:paraId="73727C9A">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④水系—青弋江—大工山路延伸段—荆山河—水系</w:t>
            </w:r>
          </w:p>
          <w:p w14:paraId="24831376">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⑤两湖—火龙路—荆山河—竹港河—湾石路—滨河路—漳河—水系—长江南路—白马山路—规划道路—规划道路—芜铜铁路—两湖</w:t>
            </w:r>
          </w:p>
        </w:tc>
      </w:tr>
      <w:tr w14:paraId="24F3850A">
        <w:tblPrEx>
          <w:tblCellMar>
            <w:top w:w="0" w:type="dxa"/>
            <w:left w:w="0" w:type="dxa"/>
            <w:bottom w:w="0" w:type="dxa"/>
            <w:right w:w="0" w:type="dxa"/>
          </w:tblCellMar>
        </w:tblPrEx>
        <w:trPr>
          <w:trHeight w:val="1610" w:hRule="atLeast"/>
          <w:jc w:val="center"/>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C8A45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4"/>
                <w:sz w:val="28"/>
                <w:szCs w:val="28"/>
              </w:rPr>
            </w:pPr>
            <w:r>
              <w:rPr>
                <w:rFonts w:hint="default" w:ascii="Times New Roman" w:hAnsi="Times New Roman" w:eastAsia="方正仿宋_GBK" w:cs="Times New Roman"/>
                <w:kern w:val="0"/>
                <w:position w:val="-4"/>
                <w:sz w:val="28"/>
                <w:szCs w:val="28"/>
              </w:rPr>
              <w:t>四类</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0F5304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2850</w:t>
            </w:r>
          </w:p>
        </w:tc>
        <w:tc>
          <w:tcPr>
            <w:tcW w:w="7215" w:type="dxa"/>
            <w:tcBorders>
              <w:top w:val="single" w:color="000000" w:sz="4" w:space="0"/>
              <w:left w:val="single" w:color="000000" w:sz="4" w:space="0"/>
              <w:bottom w:val="single" w:color="000000" w:sz="4" w:space="0"/>
              <w:right w:val="single" w:color="000000" w:sz="4" w:space="0"/>
            </w:tcBorders>
            <w:noWrap w:val="0"/>
            <w:vAlign w:val="center"/>
          </w:tcPr>
          <w:p w14:paraId="49441913">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①东边界—清水河—芜屯公路—北京东路—清水河路—水系—东边界</w:t>
            </w:r>
          </w:p>
          <w:p w14:paraId="6BE74FBA">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②长江—小江—横山河—西边界—长江</w:t>
            </w:r>
          </w:p>
          <w:p w14:paraId="7A7AB82E">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③裕溪口区域</w:t>
            </w:r>
          </w:p>
          <w:p w14:paraId="6D97E005">
            <w:pPr>
              <w:keepNext w:val="0"/>
              <w:keepLines w:val="0"/>
              <w:pageBreakBefore w:val="0"/>
              <w:widowControl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④大工山路延伸段—青弋江—南边界—峨溪河—漳河—滨河路—湾石路—竹港河—荆山河—大工山路延伸段</w:t>
            </w:r>
          </w:p>
        </w:tc>
      </w:tr>
    </w:tbl>
    <w:p w14:paraId="15F70E6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三、住宅房屋成新系数</w:t>
      </w:r>
    </w:p>
    <w:tbl>
      <w:tblPr>
        <w:tblStyle w:val="8"/>
        <w:tblW w:w="9115" w:type="dxa"/>
        <w:jc w:val="center"/>
        <w:tblLayout w:type="fixed"/>
        <w:tblCellMar>
          <w:top w:w="0" w:type="dxa"/>
          <w:left w:w="0" w:type="dxa"/>
          <w:bottom w:w="0" w:type="dxa"/>
          <w:right w:w="0" w:type="dxa"/>
        </w:tblCellMar>
      </w:tblPr>
      <w:tblGrid>
        <w:gridCol w:w="1260"/>
        <w:gridCol w:w="1193"/>
        <w:gridCol w:w="1718"/>
        <w:gridCol w:w="1747"/>
        <w:gridCol w:w="1817"/>
        <w:gridCol w:w="1380"/>
      </w:tblGrid>
      <w:tr w14:paraId="1A3E4B87">
        <w:tblPrEx>
          <w:tblCellMar>
            <w:top w:w="0" w:type="dxa"/>
            <w:left w:w="0" w:type="dxa"/>
            <w:bottom w:w="0" w:type="dxa"/>
            <w:right w:w="0" w:type="dxa"/>
          </w:tblCellMar>
        </w:tblPrEx>
        <w:trPr>
          <w:trHeight w:val="856" w:hRule="exact"/>
          <w:jc w:val="center"/>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42AD094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kern w:val="0"/>
                <w:sz w:val="28"/>
                <w:szCs w:val="28"/>
              </w:rPr>
            </w:pPr>
            <w:bookmarkStart w:id="3" w:name="_Hlk120719893"/>
            <w:r>
              <w:rPr>
                <w:rFonts w:hint="default" w:ascii="Times New Roman" w:hAnsi="Times New Roman" w:eastAsia="方正黑体_GBK" w:cs="Times New Roman"/>
                <w:spacing w:val="-4"/>
                <w:kern w:val="0"/>
                <w:sz w:val="28"/>
                <w:szCs w:val="28"/>
              </w:rPr>
              <w:t>建筑</w:t>
            </w:r>
            <w:r>
              <w:rPr>
                <w:rFonts w:hint="default" w:ascii="Times New Roman" w:hAnsi="Times New Roman" w:eastAsia="方正黑体_GBK" w:cs="Times New Roman"/>
                <w:spacing w:val="-5"/>
                <w:kern w:val="0"/>
                <w:sz w:val="28"/>
                <w:szCs w:val="28"/>
              </w:rPr>
              <w:t>年</w:t>
            </w:r>
            <w:r>
              <w:rPr>
                <w:rFonts w:hint="default" w:ascii="Times New Roman" w:hAnsi="Times New Roman" w:eastAsia="方正黑体_GBK" w:cs="Times New Roman"/>
                <w:kern w:val="0"/>
                <w:sz w:val="28"/>
                <w:szCs w:val="28"/>
              </w:rPr>
              <w:t>代</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2E370E9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1"/>
                <w:kern w:val="0"/>
                <w:sz w:val="28"/>
                <w:szCs w:val="28"/>
              </w:rPr>
              <w:t>1</w:t>
            </w:r>
            <w:r>
              <w:rPr>
                <w:rFonts w:hint="default" w:ascii="Times New Roman" w:hAnsi="Times New Roman" w:eastAsia="方正黑体_GBK" w:cs="Times New Roman"/>
                <w:spacing w:val="-2"/>
                <w:kern w:val="0"/>
                <w:sz w:val="28"/>
                <w:szCs w:val="28"/>
              </w:rPr>
              <w:t>98</w:t>
            </w:r>
            <w:r>
              <w:rPr>
                <w:rFonts w:hint="default" w:ascii="Times New Roman" w:hAnsi="Times New Roman" w:eastAsia="方正黑体_GBK" w:cs="Times New Roman"/>
                <w:kern w:val="0"/>
                <w:sz w:val="28"/>
                <w:szCs w:val="28"/>
              </w:rPr>
              <w:t>6</w:t>
            </w:r>
            <w:r>
              <w:rPr>
                <w:rFonts w:hint="default" w:ascii="Times New Roman" w:hAnsi="Times New Roman" w:eastAsia="方正黑体_GBK" w:cs="Times New Roman"/>
                <w:spacing w:val="-4"/>
                <w:kern w:val="0"/>
                <w:sz w:val="28"/>
                <w:szCs w:val="28"/>
              </w:rPr>
              <w:t>年</w:t>
            </w:r>
            <w:r>
              <w:rPr>
                <w:rFonts w:hint="default" w:ascii="Times New Roman" w:hAnsi="Times New Roman" w:eastAsia="方正黑体_GBK" w:cs="Times New Roman"/>
                <w:spacing w:val="-5"/>
                <w:kern w:val="0"/>
                <w:sz w:val="28"/>
                <w:szCs w:val="28"/>
              </w:rPr>
              <w:t>以</w:t>
            </w:r>
            <w:r>
              <w:rPr>
                <w:rFonts w:hint="default" w:ascii="Times New Roman" w:hAnsi="Times New Roman" w:eastAsia="方正黑体_GBK" w:cs="Times New Roman"/>
                <w:kern w:val="0"/>
                <w:sz w:val="28"/>
                <w:szCs w:val="28"/>
              </w:rPr>
              <w:t>前</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7F962CF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1"/>
                <w:kern w:val="0"/>
                <w:sz w:val="28"/>
                <w:szCs w:val="28"/>
              </w:rPr>
              <w:t>1</w:t>
            </w:r>
            <w:r>
              <w:rPr>
                <w:rFonts w:hint="default" w:ascii="Times New Roman" w:hAnsi="Times New Roman" w:eastAsia="方正黑体_GBK" w:cs="Times New Roman"/>
                <w:spacing w:val="-2"/>
                <w:kern w:val="0"/>
                <w:sz w:val="28"/>
                <w:szCs w:val="28"/>
              </w:rPr>
              <w:t>98</w:t>
            </w:r>
            <w:r>
              <w:rPr>
                <w:rFonts w:hint="default" w:ascii="Times New Roman" w:hAnsi="Times New Roman" w:eastAsia="方正黑体_GBK" w:cs="Times New Roman"/>
                <w:kern w:val="0"/>
                <w:sz w:val="28"/>
                <w:szCs w:val="28"/>
              </w:rPr>
              <w:t>6</w:t>
            </w:r>
            <w:r>
              <w:rPr>
                <w:rFonts w:hint="default" w:ascii="Times New Roman" w:hAnsi="Times New Roman" w:eastAsia="方正黑体_GBK" w:cs="Times New Roman"/>
                <w:spacing w:val="-4"/>
                <w:kern w:val="0"/>
                <w:sz w:val="28"/>
                <w:szCs w:val="28"/>
              </w:rPr>
              <w:t>年</w:t>
            </w:r>
            <w:r>
              <w:rPr>
                <w:rFonts w:hint="default" w:ascii="Times New Roman" w:hAnsi="Times New Roman" w:eastAsia="方正黑体_GBK" w:cs="Times New Roman"/>
                <w:kern w:val="0"/>
                <w:sz w:val="28"/>
                <w:szCs w:val="28"/>
              </w:rPr>
              <w:t>至</w:t>
            </w:r>
            <w:r>
              <w:rPr>
                <w:rFonts w:hint="default" w:ascii="Times New Roman" w:hAnsi="Times New Roman" w:eastAsia="方正黑体_GBK" w:cs="Times New Roman"/>
                <w:spacing w:val="-2"/>
                <w:kern w:val="0"/>
                <w:sz w:val="28"/>
                <w:szCs w:val="28"/>
              </w:rPr>
              <w:t>1</w:t>
            </w:r>
            <w:r>
              <w:rPr>
                <w:rFonts w:hint="default" w:ascii="Times New Roman" w:hAnsi="Times New Roman" w:eastAsia="方正黑体_GBK" w:cs="Times New Roman"/>
                <w:spacing w:val="-1"/>
                <w:kern w:val="0"/>
                <w:sz w:val="28"/>
                <w:szCs w:val="28"/>
              </w:rPr>
              <w:t>9</w:t>
            </w:r>
            <w:r>
              <w:rPr>
                <w:rFonts w:hint="default" w:ascii="Times New Roman" w:hAnsi="Times New Roman" w:eastAsia="方正黑体_GBK" w:cs="Times New Roman"/>
                <w:spacing w:val="-2"/>
                <w:kern w:val="0"/>
                <w:sz w:val="28"/>
                <w:szCs w:val="28"/>
              </w:rPr>
              <w:t>9</w:t>
            </w:r>
            <w:r>
              <w:rPr>
                <w:rFonts w:hint="default" w:ascii="Times New Roman" w:hAnsi="Times New Roman" w:eastAsia="方正黑体_GBK" w:cs="Times New Roman"/>
                <w:kern w:val="0"/>
                <w:sz w:val="28"/>
                <w:szCs w:val="28"/>
              </w:rPr>
              <w:t>5年</w:t>
            </w: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A1284C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1"/>
                <w:kern w:val="0"/>
                <w:sz w:val="28"/>
                <w:szCs w:val="28"/>
              </w:rPr>
              <w:t>1</w:t>
            </w:r>
            <w:r>
              <w:rPr>
                <w:rFonts w:hint="default" w:ascii="Times New Roman" w:hAnsi="Times New Roman" w:eastAsia="方正黑体_GBK" w:cs="Times New Roman"/>
                <w:spacing w:val="-2"/>
                <w:kern w:val="0"/>
                <w:sz w:val="28"/>
                <w:szCs w:val="28"/>
              </w:rPr>
              <w:t>99</w:t>
            </w:r>
            <w:r>
              <w:rPr>
                <w:rFonts w:hint="default" w:ascii="Times New Roman" w:hAnsi="Times New Roman" w:eastAsia="方正黑体_GBK" w:cs="Times New Roman"/>
                <w:kern w:val="0"/>
                <w:sz w:val="28"/>
                <w:szCs w:val="28"/>
              </w:rPr>
              <w:t>6</w:t>
            </w:r>
            <w:r>
              <w:rPr>
                <w:rFonts w:hint="default" w:ascii="Times New Roman" w:hAnsi="Times New Roman" w:eastAsia="方正黑体_GBK" w:cs="Times New Roman"/>
                <w:spacing w:val="-4"/>
                <w:kern w:val="0"/>
                <w:sz w:val="28"/>
                <w:szCs w:val="28"/>
              </w:rPr>
              <w:t>年</w:t>
            </w:r>
            <w:r>
              <w:rPr>
                <w:rFonts w:hint="default" w:ascii="Times New Roman" w:hAnsi="Times New Roman" w:eastAsia="方正黑体_GBK" w:cs="Times New Roman"/>
                <w:kern w:val="0"/>
                <w:sz w:val="28"/>
                <w:szCs w:val="28"/>
              </w:rPr>
              <w:t>至</w:t>
            </w:r>
            <w:r>
              <w:rPr>
                <w:rFonts w:hint="default" w:ascii="Times New Roman" w:hAnsi="Times New Roman" w:eastAsia="方正黑体_GBK" w:cs="Times New Roman"/>
                <w:spacing w:val="-2"/>
                <w:kern w:val="0"/>
                <w:sz w:val="28"/>
                <w:szCs w:val="28"/>
              </w:rPr>
              <w:t>2</w:t>
            </w:r>
            <w:r>
              <w:rPr>
                <w:rFonts w:hint="default" w:ascii="Times New Roman" w:hAnsi="Times New Roman" w:eastAsia="方正黑体_GBK" w:cs="Times New Roman"/>
                <w:spacing w:val="-1"/>
                <w:kern w:val="0"/>
                <w:sz w:val="28"/>
                <w:szCs w:val="28"/>
              </w:rPr>
              <w:t>0</w:t>
            </w:r>
            <w:r>
              <w:rPr>
                <w:rFonts w:hint="default" w:ascii="Times New Roman" w:hAnsi="Times New Roman" w:eastAsia="方正黑体_GBK" w:cs="Times New Roman"/>
                <w:spacing w:val="-2"/>
                <w:kern w:val="0"/>
                <w:sz w:val="28"/>
                <w:szCs w:val="28"/>
              </w:rPr>
              <w:t>0</w:t>
            </w:r>
            <w:r>
              <w:rPr>
                <w:rFonts w:hint="default" w:ascii="Times New Roman" w:hAnsi="Times New Roman" w:eastAsia="方正黑体_GBK" w:cs="Times New Roman"/>
                <w:kern w:val="0"/>
                <w:sz w:val="28"/>
                <w:szCs w:val="28"/>
              </w:rPr>
              <w:t>5年</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10C036D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kern w:val="0"/>
                <w:sz w:val="28"/>
                <w:szCs w:val="28"/>
              </w:rPr>
            </w:pPr>
            <w:r>
              <w:rPr>
                <w:rFonts w:hint="default" w:ascii="Times New Roman" w:hAnsi="Times New Roman" w:eastAsia="方正黑体_GBK" w:cs="Times New Roman"/>
                <w:spacing w:val="-1"/>
                <w:kern w:val="0"/>
                <w:sz w:val="28"/>
                <w:szCs w:val="28"/>
              </w:rPr>
              <w:t>2</w:t>
            </w:r>
            <w:r>
              <w:rPr>
                <w:rFonts w:hint="default" w:ascii="Times New Roman" w:hAnsi="Times New Roman" w:eastAsia="方正黑体_GBK" w:cs="Times New Roman"/>
                <w:spacing w:val="-2"/>
                <w:kern w:val="0"/>
                <w:sz w:val="28"/>
                <w:szCs w:val="28"/>
              </w:rPr>
              <w:t>00</w:t>
            </w:r>
            <w:r>
              <w:rPr>
                <w:rFonts w:hint="default" w:ascii="Times New Roman" w:hAnsi="Times New Roman" w:eastAsia="方正黑体_GBK" w:cs="Times New Roman"/>
                <w:kern w:val="0"/>
                <w:sz w:val="28"/>
                <w:szCs w:val="28"/>
              </w:rPr>
              <w:t>6</w:t>
            </w:r>
            <w:r>
              <w:rPr>
                <w:rFonts w:hint="default" w:ascii="Times New Roman" w:hAnsi="Times New Roman" w:eastAsia="方正黑体_GBK" w:cs="Times New Roman"/>
                <w:spacing w:val="-4"/>
                <w:kern w:val="0"/>
                <w:sz w:val="28"/>
                <w:szCs w:val="28"/>
              </w:rPr>
              <w:t>年至</w:t>
            </w:r>
            <w:r>
              <w:rPr>
                <w:rFonts w:hint="default" w:ascii="Times New Roman" w:hAnsi="Times New Roman" w:eastAsia="方正黑体_GBK" w:cs="Times New Roman"/>
                <w:spacing w:val="-5"/>
                <w:kern w:val="0"/>
                <w:sz w:val="28"/>
                <w:szCs w:val="28"/>
              </w:rPr>
              <w:t>2015年</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253E6F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5"/>
                <w:kern w:val="0"/>
                <w:sz w:val="28"/>
                <w:szCs w:val="28"/>
              </w:rPr>
            </w:pPr>
            <w:r>
              <w:rPr>
                <w:rFonts w:hint="default" w:ascii="Times New Roman" w:hAnsi="Times New Roman" w:eastAsia="方正黑体_GBK" w:cs="Times New Roman"/>
                <w:spacing w:val="-5"/>
                <w:kern w:val="0"/>
                <w:sz w:val="28"/>
                <w:szCs w:val="28"/>
              </w:rPr>
              <w:t>2016年以后</w:t>
            </w:r>
          </w:p>
        </w:tc>
      </w:tr>
      <w:tr w14:paraId="128FF4B0">
        <w:tblPrEx>
          <w:tblCellMar>
            <w:top w:w="0" w:type="dxa"/>
            <w:left w:w="0" w:type="dxa"/>
            <w:bottom w:w="0" w:type="dxa"/>
            <w:right w:w="0" w:type="dxa"/>
          </w:tblCellMar>
        </w:tblPrEx>
        <w:trPr>
          <w:trHeight w:val="570" w:hRule="exact"/>
          <w:jc w:val="center"/>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08FFC20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成新系数</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2A55AD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0.80</w:t>
            </w:r>
          </w:p>
        </w:tc>
        <w:tc>
          <w:tcPr>
            <w:tcW w:w="1718" w:type="dxa"/>
            <w:tcBorders>
              <w:top w:val="single" w:color="000000" w:sz="4" w:space="0"/>
              <w:left w:val="single" w:color="000000" w:sz="4" w:space="0"/>
              <w:bottom w:val="single" w:color="000000" w:sz="4" w:space="0"/>
              <w:right w:val="single" w:color="000000" w:sz="4" w:space="0"/>
            </w:tcBorders>
            <w:noWrap w:val="0"/>
            <w:vAlign w:val="center"/>
          </w:tcPr>
          <w:p w14:paraId="3554FF13">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0.85</w:t>
            </w: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70D798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0.9</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CC0DAAA">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0.95</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7DA05F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仿宋_GBK" w:cs="Times New Roman"/>
                <w:spacing w:val="-4"/>
                <w:kern w:val="0"/>
                <w:sz w:val="28"/>
                <w:szCs w:val="28"/>
              </w:rPr>
            </w:pPr>
            <w:r>
              <w:rPr>
                <w:rFonts w:hint="default" w:ascii="Times New Roman" w:hAnsi="Times New Roman" w:eastAsia="方正仿宋_GBK" w:cs="Times New Roman"/>
                <w:spacing w:val="-4"/>
                <w:kern w:val="0"/>
                <w:sz w:val="28"/>
                <w:szCs w:val="28"/>
              </w:rPr>
              <w:t>1.0</w:t>
            </w:r>
          </w:p>
        </w:tc>
      </w:tr>
      <w:bookmarkEnd w:id="3"/>
    </w:tbl>
    <w:p w14:paraId="17D8B5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四、住宅房屋楼层系数</w:t>
      </w:r>
    </w:p>
    <w:tbl>
      <w:tblPr>
        <w:tblStyle w:val="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015"/>
        <w:gridCol w:w="968"/>
        <w:gridCol w:w="1136"/>
        <w:gridCol w:w="1091"/>
        <w:gridCol w:w="1116"/>
        <w:gridCol w:w="1116"/>
        <w:gridCol w:w="1117"/>
      </w:tblGrid>
      <w:tr w14:paraId="60CA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1502" w:type="dxa"/>
            <w:noWrap w:val="0"/>
            <w:vAlign w:val="top"/>
          </w:tcPr>
          <w:p w14:paraId="1EA6391C">
            <w:pPr>
              <w:keepNext w:val="0"/>
              <w:keepLines w:val="0"/>
              <w:pageBreakBefore w:val="0"/>
              <w:widowControl w:val="0"/>
              <w:kinsoku/>
              <w:wordWrap/>
              <w:overflowPunct/>
              <w:topLinePunct w:val="0"/>
              <w:autoSpaceDE w:val="0"/>
              <w:autoSpaceDN w:val="0"/>
              <w:bidi w:val="0"/>
              <w:adjustRightInd w:val="0"/>
              <w:spacing w:line="360" w:lineRule="exact"/>
              <w:jc w:val="left"/>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kern w:val="0"/>
                <w:position w:val="-3"/>
                <w:sz w:val="28"/>
                <w:szCs w:val="28"/>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948055" cy="1485900"/>
                      <wp:effectExtent l="3175" t="1270" r="20320" b="17780"/>
                      <wp:wrapNone/>
                      <wp:docPr id="22" name="组合 22"/>
                      <wp:cNvGraphicFramePr/>
                      <a:graphic xmlns:a="http://schemas.openxmlformats.org/drawingml/2006/main">
                        <a:graphicData uri="http://schemas.microsoft.com/office/word/2010/wordprocessingGroup">
                          <wpg:wgp>
                            <wpg:cNvGrpSpPr/>
                            <wpg:grpSpPr>
                              <a:xfrm>
                                <a:off x="0" y="0"/>
                                <a:ext cx="948055" cy="1485900"/>
                                <a:chOff x="1687" y="4396"/>
                                <a:chExt cx="999" cy="2340"/>
                              </a:xfrm>
                              <a:effectLst/>
                            </wpg:grpSpPr>
                            <wps:wsp>
                              <wps:cNvPr id="1" name="直接连接符 1"/>
                              <wps:cNvCnPr/>
                              <wps:spPr>
                                <a:xfrm>
                                  <a:off x="2187" y="4396"/>
                                  <a:ext cx="499" cy="2340"/>
                                </a:xfrm>
                                <a:prstGeom prst="line">
                                  <a:avLst/>
                                </a:prstGeom>
                                <a:ln w="6350" cap="flat" cmpd="sng">
                                  <a:solidFill>
                                    <a:srgbClr val="000000"/>
                                  </a:solidFill>
                                  <a:prstDash val="solid"/>
                                  <a:headEnd type="none" w="med" len="med"/>
                                  <a:tailEnd type="none" w="med" len="med"/>
                                </a:ln>
                                <a:effectLst/>
                              </wps:spPr>
                              <wps:bodyPr upright="1"/>
                            </wps:wsp>
                            <wps:wsp>
                              <wps:cNvPr id="3" name="直接连接符 2"/>
                              <wps:cNvCnPr/>
                              <wps:spPr>
                                <a:xfrm>
                                  <a:off x="1687" y="5566"/>
                                  <a:ext cx="999" cy="1170"/>
                                </a:xfrm>
                                <a:prstGeom prst="line">
                                  <a:avLst/>
                                </a:prstGeom>
                                <a:ln w="6350" cap="flat" cmpd="sng">
                                  <a:solidFill>
                                    <a:srgbClr val="000000"/>
                                  </a:solidFill>
                                  <a:prstDash val="solid"/>
                                  <a:headEnd type="none" w="med" len="med"/>
                                  <a:tailEnd type="none" w="med" len="med"/>
                                </a:ln>
                                <a:effectLst/>
                              </wps:spPr>
                              <wps:bodyPr upright="1"/>
                            </wps:wsp>
                            <wps:wsp>
                              <wps:cNvPr id="23" name="文本框 3"/>
                              <wps:cNvSpPr txBox="1"/>
                              <wps:spPr>
                                <a:xfrm>
                                  <a:off x="2362" y="4504"/>
                                  <a:ext cx="252" cy="263"/>
                                </a:xfrm>
                                <a:prstGeom prst="rect">
                                  <a:avLst/>
                                </a:prstGeom>
                                <a:noFill/>
                                <a:ln>
                                  <a:noFill/>
                                </a:ln>
                                <a:effectLst/>
                              </wps:spPr>
                              <wps:txbx>
                                <w:txbxContent>
                                  <w:p w14:paraId="0C126E07">
                                    <w:pPr>
                                      <w:snapToGrid w:val="0"/>
                                      <w:rPr>
                                        <w:rFonts w:ascii="黑体" w:hAnsi="黑体" w:eastAsia="黑体"/>
                                        <w:sz w:val="24"/>
                                      </w:rPr>
                                    </w:pPr>
                                    <w:r>
                                      <w:rPr>
                                        <w:rFonts w:hint="eastAsia" w:ascii="黑体" w:hAnsi="黑体" w:eastAsia="黑体"/>
                                        <w:sz w:val="24"/>
                                      </w:rPr>
                                      <w:t>总</w:t>
                                    </w:r>
                                  </w:p>
                                </w:txbxContent>
                              </wps:txbx>
                              <wps:bodyPr lIns="0" tIns="0" rIns="0" bIns="0" upright="1"/>
                            </wps:wsp>
                            <wps:wsp>
                              <wps:cNvPr id="24" name="文本框 4"/>
                              <wps:cNvSpPr txBox="1"/>
                              <wps:spPr>
                                <a:xfrm>
                                  <a:off x="2390" y="4773"/>
                                  <a:ext cx="253" cy="262"/>
                                </a:xfrm>
                                <a:prstGeom prst="rect">
                                  <a:avLst/>
                                </a:prstGeom>
                                <a:noFill/>
                                <a:ln>
                                  <a:noFill/>
                                </a:ln>
                                <a:effectLst/>
                              </wps:spPr>
                              <wps:txbx>
                                <w:txbxContent>
                                  <w:p w14:paraId="3E01E46F">
                                    <w:pPr>
                                      <w:snapToGrid w:val="0"/>
                                      <w:rPr>
                                        <w:rFonts w:ascii="黑体" w:hAnsi="黑体" w:eastAsia="黑体"/>
                                        <w:sz w:val="24"/>
                                      </w:rPr>
                                    </w:pPr>
                                    <w:r>
                                      <w:rPr>
                                        <w:rFonts w:hint="eastAsia" w:ascii="黑体" w:hAnsi="黑体" w:eastAsia="黑体"/>
                                        <w:sz w:val="24"/>
                                      </w:rPr>
                                      <w:t>楼</w:t>
                                    </w:r>
                                  </w:p>
                                </w:txbxContent>
                              </wps:txbx>
                              <wps:bodyPr lIns="0" tIns="0" rIns="0" bIns="0" upright="1"/>
                            </wps:wsp>
                            <wps:wsp>
                              <wps:cNvPr id="25" name="文本框 5"/>
                              <wps:cNvSpPr txBox="1"/>
                              <wps:spPr>
                                <a:xfrm>
                                  <a:off x="2419" y="5042"/>
                                  <a:ext cx="253" cy="262"/>
                                </a:xfrm>
                                <a:prstGeom prst="rect">
                                  <a:avLst/>
                                </a:prstGeom>
                                <a:noFill/>
                                <a:ln>
                                  <a:noFill/>
                                </a:ln>
                                <a:effectLst/>
                              </wps:spPr>
                              <wps:txbx>
                                <w:txbxContent>
                                  <w:p w14:paraId="217DD50C">
                                    <w:pPr>
                                      <w:snapToGrid w:val="0"/>
                                      <w:rPr>
                                        <w:rFonts w:ascii="黑体" w:hAnsi="黑体" w:eastAsia="黑体"/>
                                        <w:sz w:val="24"/>
                                      </w:rPr>
                                    </w:pPr>
                                    <w:r>
                                      <w:rPr>
                                        <w:rFonts w:hint="eastAsia" w:ascii="黑体" w:hAnsi="黑体" w:eastAsia="黑体"/>
                                        <w:sz w:val="24"/>
                                      </w:rPr>
                                      <w:t>层</w:t>
                                    </w:r>
                                  </w:p>
                                </w:txbxContent>
                              </wps:txbx>
                              <wps:bodyPr lIns="0" tIns="0" rIns="0" bIns="0" upright="1"/>
                            </wps:wsp>
                            <wps:wsp>
                              <wps:cNvPr id="7" name="文本框 6"/>
                              <wps:cNvSpPr txBox="1"/>
                              <wps:spPr>
                                <a:xfrm>
                                  <a:off x="1766" y="4683"/>
                                  <a:ext cx="252" cy="263"/>
                                </a:xfrm>
                                <a:prstGeom prst="rect">
                                  <a:avLst/>
                                </a:prstGeom>
                                <a:noFill/>
                                <a:ln>
                                  <a:noFill/>
                                </a:ln>
                                <a:effectLst/>
                              </wps:spPr>
                              <wps:txbx>
                                <w:txbxContent>
                                  <w:p w14:paraId="64DB5C66">
                                    <w:pPr>
                                      <w:snapToGrid w:val="0"/>
                                      <w:rPr>
                                        <w:rFonts w:ascii="黑体" w:hAnsi="黑体" w:eastAsia="黑体"/>
                                        <w:sz w:val="24"/>
                                      </w:rPr>
                                    </w:pPr>
                                    <w:r>
                                      <w:rPr>
                                        <w:rFonts w:hint="eastAsia" w:ascii="黑体" w:hAnsi="黑体" w:eastAsia="黑体"/>
                                        <w:sz w:val="24"/>
                                      </w:rPr>
                                      <w:t>增</w:t>
                                    </w:r>
                                  </w:p>
                                </w:txbxContent>
                              </wps:txbx>
                              <wps:bodyPr lIns="0" tIns="0" rIns="0" bIns="0" upright="1"/>
                            </wps:wsp>
                            <wps:wsp>
                              <wps:cNvPr id="26" name="文本框 7"/>
                              <wps:cNvSpPr txBox="1"/>
                              <wps:spPr>
                                <a:xfrm>
                                  <a:off x="1913" y="5028"/>
                                  <a:ext cx="252" cy="263"/>
                                </a:xfrm>
                                <a:prstGeom prst="rect">
                                  <a:avLst/>
                                </a:prstGeom>
                                <a:noFill/>
                                <a:ln>
                                  <a:noFill/>
                                </a:ln>
                                <a:effectLst/>
                              </wps:spPr>
                              <wps:txbx>
                                <w:txbxContent>
                                  <w:p w14:paraId="0ED4BEE9">
                                    <w:pPr>
                                      <w:snapToGrid w:val="0"/>
                                      <w:rPr>
                                        <w:rFonts w:ascii="黑体" w:hAnsi="黑体" w:eastAsia="黑体"/>
                                        <w:sz w:val="24"/>
                                      </w:rPr>
                                    </w:pPr>
                                    <w:r>
                                      <w:rPr>
                                        <w:rFonts w:hint="eastAsia" w:ascii="黑体" w:hAnsi="黑体" w:eastAsia="黑体"/>
                                        <w:sz w:val="24"/>
                                      </w:rPr>
                                      <w:t>减</w:t>
                                    </w:r>
                                  </w:p>
                                </w:txbxContent>
                              </wps:txbx>
                              <wps:bodyPr lIns="0" tIns="0" rIns="0" bIns="0" upright="1"/>
                            </wps:wsp>
                            <wps:wsp>
                              <wps:cNvPr id="9" name="文本框 8"/>
                              <wps:cNvSpPr txBox="1"/>
                              <wps:spPr>
                                <a:xfrm>
                                  <a:off x="2060" y="5373"/>
                                  <a:ext cx="253" cy="262"/>
                                </a:xfrm>
                                <a:prstGeom prst="rect">
                                  <a:avLst/>
                                </a:prstGeom>
                                <a:noFill/>
                                <a:ln>
                                  <a:noFill/>
                                </a:ln>
                                <a:effectLst/>
                              </wps:spPr>
                              <wps:txbx>
                                <w:txbxContent>
                                  <w:p w14:paraId="3AA2296E">
                                    <w:pPr>
                                      <w:snapToGrid w:val="0"/>
                                      <w:rPr>
                                        <w:rFonts w:ascii="黑体" w:hAnsi="黑体" w:eastAsia="黑体"/>
                                        <w:sz w:val="24"/>
                                      </w:rPr>
                                    </w:pPr>
                                    <w:r>
                                      <w:rPr>
                                        <w:rFonts w:hint="eastAsia" w:ascii="黑体" w:hAnsi="黑体" w:eastAsia="黑体"/>
                                        <w:sz w:val="24"/>
                                      </w:rPr>
                                      <w:t>系</w:t>
                                    </w:r>
                                  </w:p>
                                </w:txbxContent>
                              </wps:txbx>
                              <wps:bodyPr lIns="0" tIns="0" rIns="0" bIns="0" upright="1"/>
                            </wps:wsp>
                            <wps:wsp>
                              <wps:cNvPr id="10" name="文本框 9"/>
                              <wps:cNvSpPr txBox="1"/>
                              <wps:spPr>
                                <a:xfrm>
                                  <a:off x="2207" y="5718"/>
                                  <a:ext cx="253" cy="262"/>
                                </a:xfrm>
                                <a:prstGeom prst="rect">
                                  <a:avLst/>
                                </a:prstGeom>
                                <a:noFill/>
                                <a:ln>
                                  <a:noFill/>
                                </a:ln>
                                <a:effectLst/>
                              </wps:spPr>
                              <wps:txbx>
                                <w:txbxContent>
                                  <w:p w14:paraId="182899A3">
                                    <w:pPr>
                                      <w:snapToGrid w:val="0"/>
                                      <w:rPr>
                                        <w:rFonts w:ascii="黑体" w:hAnsi="黑体" w:eastAsia="黑体"/>
                                        <w:sz w:val="24"/>
                                      </w:rPr>
                                    </w:pPr>
                                    <w:r>
                                      <w:rPr>
                                        <w:rFonts w:hint="eastAsia" w:ascii="黑体" w:hAnsi="黑体" w:eastAsia="黑体"/>
                                        <w:sz w:val="24"/>
                                      </w:rPr>
                                      <w:t>数</w:t>
                                    </w:r>
                                  </w:p>
                                </w:txbxContent>
                              </wps:txbx>
                              <wps:bodyPr lIns="0" tIns="0" rIns="0" bIns="0" upright="1"/>
                            </wps:wsp>
                            <wps:wsp>
                              <wps:cNvPr id="11" name="文本框 10"/>
                              <wps:cNvSpPr txBox="1"/>
                              <wps:spPr>
                                <a:xfrm>
                                  <a:off x="1839" y="6167"/>
                                  <a:ext cx="253" cy="263"/>
                                </a:xfrm>
                                <a:prstGeom prst="rect">
                                  <a:avLst/>
                                </a:prstGeom>
                                <a:noFill/>
                                <a:ln>
                                  <a:noFill/>
                                </a:ln>
                                <a:effectLst/>
                              </wps:spPr>
                              <wps:txbx>
                                <w:txbxContent>
                                  <w:p w14:paraId="79E34AED">
                                    <w:pPr>
                                      <w:snapToGrid w:val="0"/>
                                      <w:rPr>
                                        <w:rFonts w:ascii="黑体" w:hAnsi="黑体" w:eastAsia="黑体"/>
                                        <w:sz w:val="24"/>
                                      </w:rPr>
                                    </w:pPr>
                                    <w:r>
                                      <w:rPr>
                                        <w:rFonts w:hint="eastAsia" w:ascii="黑体" w:hAnsi="黑体" w:eastAsia="黑体"/>
                                        <w:sz w:val="24"/>
                                      </w:rPr>
                                      <w:t>层</w:t>
                                    </w:r>
                                  </w:p>
                                </w:txbxContent>
                              </wps:txbx>
                              <wps:bodyPr lIns="0" tIns="0" rIns="0" bIns="0" upright="1"/>
                            </wps:wsp>
                            <wps:wsp>
                              <wps:cNvPr id="15" name="文本框 11"/>
                              <wps:cNvSpPr txBox="1"/>
                              <wps:spPr>
                                <a:xfrm>
                                  <a:off x="2172" y="6340"/>
                                  <a:ext cx="176" cy="262"/>
                                </a:xfrm>
                                <a:prstGeom prst="rect">
                                  <a:avLst/>
                                </a:prstGeom>
                                <a:noFill/>
                                <a:ln>
                                  <a:noFill/>
                                </a:ln>
                                <a:effectLst/>
                              </wps:spPr>
                              <wps:txbx>
                                <w:txbxContent>
                                  <w:p w14:paraId="08A1A1B5">
                                    <w:pPr>
                                      <w:snapToGrid w:val="0"/>
                                      <w:rPr>
                                        <w:sz w:val="24"/>
                                      </w:rPr>
                                    </w:pPr>
                                    <w:r>
                                      <w:rPr>
                                        <w:rFonts w:hint="eastAsia" w:ascii="黑体" w:hAnsi="黑体" w:eastAsia="黑体"/>
                                        <w:sz w:val="24"/>
                                      </w:rPr>
                                      <w:t>次</w:t>
                                    </w:r>
                                  </w:p>
                                </w:txbxContent>
                              </wps:txbx>
                              <wps:bodyPr lIns="0" tIns="0" rIns="0" bIns="0" upright="1"/>
                            </wps:wsp>
                          </wpg:wgp>
                        </a:graphicData>
                      </a:graphic>
                    </wp:anchor>
                  </w:drawing>
                </mc:Choice>
                <mc:Fallback>
                  <w:pict>
                    <v:group id="_x0000_s1026" o:spid="_x0000_s1026" o:spt="203" style="position:absolute;left:0pt;margin-left:-5.15pt;margin-top:0pt;height:117pt;width:74.65pt;z-index:251659264;mso-width-relative:page;mso-height-relative:page;" coordorigin="1687,4396" coordsize="999,2340" o:gfxdata="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">
                      <o:lock v:ext="edit" aspectratio="f"/>
                      <v:line id="_x0000_s1026" o:spid="_x0000_s1026" o:spt="20" style="position:absolute;left:2187;top:4396;height:2340;width:499;"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line id="直接连接符 2" o:spid="_x0000_s1026" o:spt="20" style="position:absolute;left:1687;top:5566;height:1170;width:999;" filled="f" stroked="t" coordsize="21600,21600" o:gfxdata="UEsDBAoAAAAAAIdO4kAAAAAAAAAAAAAAAAAEAAAAZHJzL1BLAwQUAAAACACHTuJARJkzkbsAAADa&#10;AAAADwAAAGRycy9kb3ducmV2LnhtbEWPQUvEMBSE78L+h/AWvLlJl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kzk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文本框 3" o:spid="_x0000_s1026" o:spt="202" type="#_x0000_t202" style="position:absolute;left:2362;top:4504;height:263;width:252;"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C126E07">
                              <w:pPr>
                                <w:snapToGrid w:val="0"/>
                                <w:rPr>
                                  <w:rFonts w:ascii="黑体" w:hAnsi="黑体" w:eastAsia="黑体"/>
                                  <w:sz w:val="24"/>
                                </w:rPr>
                              </w:pPr>
                              <w:r>
                                <w:rPr>
                                  <w:rFonts w:hint="eastAsia" w:ascii="黑体" w:hAnsi="黑体" w:eastAsia="黑体"/>
                                  <w:sz w:val="24"/>
                                </w:rPr>
                                <w:t>总</w:t>
                              </w:r>
                            </w:p>
                          </w:txbxContent>
                        </v:textbox>
                      </v:shape>
                      <v:shape id="文本框 4" o:spid="_x0000_s1026" o:spt="202" type="#_x0000_t202" style="position:absolute;left:2390;top:4773;height:262;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E01E46F">
                              <w:pPr>
                                <w:snapToGrid w:val="0"/>
                                <w:rPr>
                                  <w:rFonts w:ascii="黑体" w:hAnsi="黑体" w:eastAsia="黑体"/>
                                  <w:sz w:val="24"/>
                                </w:rPr>
                              </w:pPr>
                              <w:r>
                                <w:rPr>
                                  <w:rFonts w:hint="eastAsia" w:ascii="黑体" w:hAnsi="黑体" w:eastAsia="黑体"/>
                                  <w:sz w:val="24"/>
                                </w:rPr>
                                <w:t>楼</w:t>
                              </w:r>
                            </w:p>
                          </w:txbxContent>
                        </v:textbox>
                      </v:shape>
                      <v:shape id="文本框 5" o:spid="_x0000_s1026" o:spt="202" type="#_x0000_t202" style="position:absolute;left:2419;top:5042;height:262;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17DD50C">
                              <w:pPr>
                                <w:snapToGrid w:val="0"/>
                                <w:rPr>
                                  <w:rFonts w:ascii="黑体" w:hAnsi="黑体" w:eastAsia="黑体"/>
                                  <w:sz w:val="24"/>
                                </w:rPr>
                              </w:pPr>
                              <w:r>
                                <w:rPr>
                                  <w:rFonts w:hint="eastAsia" w:ascii="黑体" w:hAnsi="黑体" w:eastAsia="黑体"/>
                                  <w:sz w:val="24"/>
                                </w:rPr>
                                <w:t>层</w:t>
                              </w:r>
                            </w:p>
                          </w:txbxContent>
                        </v:textbox>
                      </v:shape>
                      <v:shape id="文本框 6" o:spid="_x0000_s1026" o:spt="202" type="#_x0000_t202" style="position:absolute;left:1766;top:4683;height:263;width:252;"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4DB5C66">
                              <w:pPr>
                                <w:snapToGrid w:val="0"/>
                                <w:rPr>
                                  <w:rFonts w:ascii="黑体" w:hAnsi="黑体" w:eastAsia="黑体"/>
                                  <w:sz w:val="24"/>
                                </w:rPr>
                              </w:pPr>
                              <w:r>
                                <w:rPr>
                                  <w:rFonts w:hint="eastAsia" w:ascii="黑体" w:hAnsi="黑体" w:eastAsia="黑体"/>
                                  <w:sz w:val="24"/>
                                </w:rPr>
                                <w:t>增</w:t>
                              </w:r>
                            </w:p>
                          </w:txbxContent>
                        </v:textbox>
                      </v:shape>
                      <v:shape id="文本框 7" o:spid="_x0000_s1026" o:spt="202" type="#_x0000_t202" style="position:absolute;left:1913;top:5028;height:263;width:252;"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ED4BEE9">
                              <w:pPr>
                                <w:snapToGrid w:val="0"/>
                                <w:rPr>
                                  <w:rFonts w:ascii="黑体" w:hAnsi="黑体" w:eastAsia="黑体"/>
                                  <w:sz w:val="24"/>
                                </w:rPr>
                              </w:pPr>
                              <w:r>
                                <w:rPr>
                                  <w:rFonts w:hint="eastAsia" w:ascii="黑体" w:hAnsi="黑体" w:eastAsia="黑体"/>
                                  <w:sz w:val="24"/>
                                </w:rPr>
                                <w:t>减</w:t>
                              </w:r>
                            </w:p>
                          </w:txbxContent>
                        </v:textbox>
                      </v:shape>
                      <v:shape id="文本框 8" o:spid="_x0000_s1026" o:spt="202" type="#_x0000_t202" style="position:absolute;left:2060;top:5373;height:262;width:253;"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AA2296E">
                              <w:pPr>
                                <w:snapToGrid w:val="0"/>
                                <w:rPr>
                                  <w:rFonts w:ascii="黑体" w:hAnsi="黑体" w:eastAsia="黑体"/>
                                  <w:sz w:val="24"/>
                                </w:rPr>
                              </w:pPr>
                              <w:r>
                                <w:rPr>
                                  <w:rFonts w:hint="eastAsia" w:ascii="黑体" w:hAnsi="黑体" w:eastAsia="黑体"/>
                                  <w:sz w:val="24"/>
                                </w:rPr>
                                <w:t>系</w:t>
                              </w:r>
                            </w:p>
                          </w:txbxContent>
                        </v:textbox>
                      </v:shape>
                      <v:shape id="文本框 9" o:spid="_x0000_s1026" o:spt="202" type="#_x0000_t202" style="position:absolute;left:2207;top:5718;height:262;width:253;"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2899A3">
                              <w:pPr>
                                <w:snapToGrid w:val="0"/>
                                <w:rPr>
                                  <w:rFonts w:ascii="黑体" w:hAnsi="黑体" w:eastAsia="黑体"/>
                                  <w:sz w:val="24"/>
                                </w:rPr>
                              </w:pPr>
                              <w:r>
                                <w:rPr>
                                  <w:rFonts w:hint="eastAsia" w:ascii="黑体" w:hAnsi="黑体" w:eastAsia="黑体"/>
                                  <w:sz w:val="24"/>
                                </w:rPr>
                                <w:t>数</w:t>
                              </w:r>
                            </w:p>
                          </w:txbxContent>
                        </v:textbox>
                      </v:shape>
                      <v:shape id="文本框 10" o:spid="_x0000_s1026" o:spt="202" type="#_x0000_t202" style="position:absolute;left:1839;top:6167;height:263;width:253;"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79E34AED">
                              <w:pPr>
                                <w:snapToGrid w:val="0"/>
                                <w:rPr>
                                  <w:rFonts w:ascii="黑体" w:hAnsi="黑体" w:eastAsia="黑体"/>
                                  <w:sz w:val="24"/>
                                </w:rPr>
                              </w:pPr>
                              <w:r>
                                <w:rPr>
                                  <w:rFonts w:hint="eastAsia" w:ascii="黑体" w:hAnsi="黑体" w:eastAsia="黑体"/>
                                  <w:sz w:val="24"/>
                                </w:rPr>
                                <w:t>层</w:t>
                              </w:r>
                            </w:p>
                          </w:txbxContent>
                        </v:textbox>
                      </v:shape>
                      <v:shape id="文本框 11" o:spid="_x0000_s1026" o:spt="202" type="#_x0000_t202" style="position:absolute;left:2172;top:6340;height:262;width:176;"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8A1A1B5">
                              <w:pPr>
                                <w:snapToGrid w:val="0"/>
                                <w:rPr>
                                  <w:sz w:val="24"/>
                                </w:rPr>
                              </w:pPr>
                              <w:r>
                                <w:rPr>
                                  <w:rFonts w:hint="eastAsia" w:ascii="黑体" w:hAnsi="黑体" w:eastAsia="黑体"/>
                                  <w:sz w:val="24"/>
                                </w:rPr>
                                <w:t>次</w:t>
                              </w:r>
                            </w:p>
                          </w:txbxContent>
                        </v:textbox>
                      </v:shape>
                    </v:group>
                  </w:pict>
                </mc:Fallback>
              </mc:AlternateContent>
            </w:r>
          </w:p>
        </w:tc>
        <w:tc>
          <w:tcPr>
            <w:tcW w:w="1015" w:type="dxa"/>
            <w:noWrap w:val="0"/>
            <w:vAlign w:val="center"/>
          </w:tcPr>
          <w:p w14:paraId="2895B25C">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一层</w:t>
            </w:r>
            <w:r>
              <w:rPr>
                <w:rFonts w:hint="default" w:ascii="Times New Roman" w:hAnsi="Times New Roman" w:eastAsia="方正黑体_GBK" w:cs="Times New Roman"/>
                <w:kern w:val="0"/>
                <w:sz w:val="28"/>
                <w:szCs w:val="28"/>
              </w:rPr>
              <w:t>楼</w:t>
            </w:r>
          </w:p>
        </w:tc>
        <w:tc>
          <w:tcPr>
            <w:tcW w:w="968" w:type="dxa"/>
            <w:noWrap w:val="0"/>
            <w:vAlign w:val="center"/>
          </w:tcPr>
          <w:p w14:paraId="2564D3CF">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二层</w:t>
            </w:r>
            <w:r>
              <w:rPr>
                <w:rFonts w:hint="default" w:ascii="Times New Roman" w:hAnsi="Times New Roman" w:eastAsia="方正黑体_GBK" w:cs="Times New Roman"/>
                <w:kern w:val="0"/>
                <w:sz w:val="28"/>
                <w:szCs w:val="28"/>
              </w:rPr>
              <w:t>楼</w:t>
            </w:r>
          </w:p>
        </w:tc>
        <w:tc>
          <w:tcPr>
            <w:tcW w:w="1136" w:type="dxa"/>
            <w:noWrap w:val="0"/>
            <w:vAlign w:val="center"/>
          </w:tcPr>
          <w:p w14:paraId="5258767E">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三层</w:t>
            </w:r>
            <w:r>
              <w:rPr>
                <w:rFonts w:hint="default" w:ascii="Times New Roman" w:hAnsi="Times New Roman" w:eastAsia="方正黑体_GBK" w:cs="Times New Roman"/>
                <w:kern w:val="0"/>
                <w:sz w:val="28"/>
                <w:szCs w:val="28"/>
              </w:rPr>
              <w:t>楼</w:t>
            </w:r>
          </w:p>
        </w:tc>
        <w:tc>
          <w:tcPr>
            <w:tcW w:w="1091" w:type="dxa"/>
            <w:noWrap w:val="0"/>
            <w:vAlign w:val="center"/>
          </w:tcPr>
          <w:p w14:paraId="6774A80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四层</w:t>
            </w:r>
            <w:r>
              <w:rPr>
                <w:rFonts w:hint="default" w:ascii="Times New Roman" w:hAnsi="Times New Roman" w:eastAsia="方正黑体_GBK" w:cs="Times New Roman"/>
                <w:kern w:val="0"/>
                <w:sz w:val="28"/>
                <w:szCs w:val="28"/>
              </w:rPr>
              <w:t>楼</w:t>
            </w:r>
          </w:p>
        </w:tc>
        <w:tc>
          <w:tcPr>
            <w:tcW w:w="1116" w:type="dxa"/>
            <w:noWrap w:val="0"/>
            <w:vAlign w:val="center"/>
          </w:tcPr>
          <w:p w14:paraId="455B08AA">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五层</w:t>
            </w:r>
            <w:r>
              <w:rPr>
                <w:rFonts w:hint="default" w:ascii="Times New Roman" w:hAnsi="Times New Roman" w:eastAsia="方正黑体_GBK" w:cs="Times New Roman"/>
                <w:kern w:val="0"/>
                <w:sz w:val="28"/>
                <w:szCs w:val="28"/>
              </w:rPr>
              <w:t>楼</w:t>
            </w:r>
          </w:p>
        </w:tc>
        <w:tc>
          <w:tcPr>
            <w:tcW w:w="1116" w:type="dxa"/>
            <w:noWrap w:val="0"/>
            <w:vAlign w:val="center"/>
          </w:tcPr>
          <w:p w14:paraId="6C549416">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六层</w:t>
            </w:r>
            <w:r>
              <w:rPr>
                <w:rFonts w:hint="default" w:ascii="Times New Roman" w:hAnsi="Times New Roman" w:eastAsia="方正黑体_GBK" w:cs="Times New Roman"/>
                <w:kern w:val="0"/>
                <w:sz w:val="28"/>
                <w:szCs w:val="28"/>
              </w:rPr>
              <w:t>楼</w:t>
            </w:r>
          </w:p>
        </w:tc>
        <w:tc>
          <w:tcPr>
            <w:tcW w:w="1117" w:type="dxa"/>
            <w:noWrap w:val="0"/>
            <w:vAlign w:val="center"/>
          </w:tcPr>
          <w:p w14:paraId="78371A6B">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default" w:ascii="Times New Roman" w:hAnsi="Times New Roman" w:eastAsia="方正黑体_GBK" w:cs="Times New Roman"/>
                <w:kern w:val="0"/>
                <w:position w:val="-3"/>
                <w:sz w:val="28"/>
                <w:szCs w:val="28"/>
              </w:rPr>
            </w:pPr>
            <w:r>
              <w:rPr>
                <w:rFonts w:hint="default" w:ascii="Times New Roman" w:hAnsi="Times New Roman" w:eastAsia="方正黑体_GBK" w:cs="Times New Roman"/>
                <w:spacing w:val="-4"/>
                <w:kern w:val="0"/>
                <w:sz w:val="28"/>
                <w:szCs w:val="28"/>
              </w:rPr>
              <w:t>七层</w:t>
            </w:r>
            <w:r>
              <w:rPr>
                <w:rFonts w:hint="default" w:ascii="Times New Roman" w:hAnsi="Times New Roman" w:eastAsia="方正黑体_GBK" w:cs="Times New Roman"/>
                <w:kern w:val="0"/>
                <w:sz w:val="28"/>
                <w:szCs w:val="28"/>
              </w:rPr>
              <w:t>楼</w:t>
            </w:r>
          </w:p>
        </w:tc>
      </w:tr>
      <w:tr w14:paraId="7D86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0DD57C9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一</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76E3AB9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w:t>
            </w:r>
            <w:r>
              <w:rPr>
                <w:rFonts w:hint="default" w:ascii="Times New Roman" w:hAnsi="Times New Roman" w:eastAsia="方正仿宋_GBK" w:cs="Times New Roman"/>
                <w:spacing w:val="-1"/>
                <w:kern w:val="0"/>
                <w:position w:val="-3"/>
                <w:sz w:val="28"/>
                <w:szCs w:val="28"/>
              </w:rPr>
              <w:t>0</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8</w:t>
            </w:r>
          </w:p>
        </w:tc>
        <w:tc>
          <w:tcPr>
            <w:tcW w:w="968" w:type="dxa"/>
            <w:noWrap w:val="0"/>
            <w:vAlign w:val="center"/>
          </w:tcPr>
          <w:p w14:paraId="0B7EEDF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w:t>
            </w:r>
            <w:r>
              <w:rPr>
                <w:rFonts w:hint="default" w:ascii="Times New Roman" w:hAnsi="Times New Roman" w:eastAsia="方正仿宋_GBK" w:cs="Times New Roman"/>
                <w:spacing w:val="-1"/>
                <w:kern w:val="0"/>
                <w:position w:val="-3"/>
                <w:sz w:val="28"/>
                <w:szCs w:val="28"/>
              </w:rPr>
              <w:t>0</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4</w:t>
            </w:r>
          </w:p>
        </w:tc>
        <w:tc>
          <w:tcPr>
            <w:tcW w:w="1136" w:type="dxa"/>
            <w:noWrap w:val="0"/>
            <w:vAlign w:val="center"/>
          </w:tcPr>
          <w:p w14:paraId="4D6A783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w:t>
            </w:r>
            <w:r>
              <w:rPr>
                <w:rFonts w:hint="default" w:ascii="Times New Roman" w:hAnsi="Times New Roman" w:eastAsia="方正仿宋_GBK" w:cs="Times New Roman"/>
                <w:spacing w:val="-1"/>
                <w:kern w:val="0"/>
                <w:position w:val="-3"/>
                <w:sz w:val="28"/>
                <w:szCs w:val="28"/>
              </w:rPr>
              <w:t>0</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2</w:t>
            </w:r>
          </w:p>
        </w:tc>
        <w:tc>
          <w:tcPr>
            <w:tcW w:w="1091" w:type="dxa"/>
            <w:noWrap w:val="0"/>
            <w:vAlign w:val="center"/>
          </w:tcPr>
          <w:p w14:paraId="2025D07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kern w:val="0"/>
                <w:position w:val="-3"/>
                <w:sz w:val="28"/>
                <w:szCs w:val="28"/>
              </w:rPr>
              <w:t>0</w:t>
            </w:r>
          </w:p>
        </w:tc>
        <w:tc>
          <w:tcPr>
            <w:tcW w:w="1116" w:type="dxa"/>
            <w:noWrap w:val="0"/>
            <w:vAlign w:val="center"/>
          </w:tcPr>
          <w:p w14:paraId="64314AB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spacing w:val="-1"/>
                <w:kern w:val="0"/>
                <w:position w:val="-3"/>
                <w:sz w:val="28"/>
                <w:szCs w:val="28"/>
              </w:rPr>
              <w:t>.</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1</w:t>
            </w:r>
          </w:p>
        </w:tc>
        <w:tc>
          <w:tcPr>
            <w:tcW w:w="1116" w:type="dxa"/>
            <w:noWrap w:val="0"/>
            <w:vAlign w:val="center"/>
          </w:tcPr>
          <w:p w14:paraId="644B5E8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spacing w:val="-1"/>
                <w:kern w:val="0"/>
                <w:position w:val="-3"/>
                <w:sz w:val="28"/>
                <w:szCs w:val="28"/>
              </w:rPr>
              <w:t>.</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1</w:t>
            </w:r>
          </w:p>
        </w:tc>
        <w:tc>
          <w:tcPr>
            <w:tcW w:w="1117" w:type="dxa"/>
            <w:noWrap w:val="0"/>
            <w:vAlign w:val="center"/>
          </w:tcPr>
          <w:p w14:paraId="28E9441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spacing w:val="-1"/>
                <w:kern w:val="0"/>
                <w:position w:val="-3"/>
                <w:sz w:val="28"/>
                <w:szCs w:val="28"/>
              </w:rPr>
              <w:t>.</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1</w:t>
            </w:r>
          </w:p>
        </w:tc>
      </w:tr>
      <w:tr w14:paraId="1923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70C52B8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二</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0C1B530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4AD94B17">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3"/>
                <w:sz w:val="28"/>
                <w:szCs w:val="28"/>
              </w:rPr>
              <w:t>+</w:t>
            </w:r>
            <w:r>
              <w:rPr>
                <w:rFonts w:hint="default" w:ascii="Times New Roman" w:hAnsi="Times New Roman" w:eastAsia="方正仿宋_GBK" w:cs="Times New Roman"/>
                <w:spacing w:val="-1"/>
                <w:kern w:val="0"/>
                <w:position w:val="-3"/>
                <w:sz w:val="28"/>
                <w:szCs w:val="28"/>
              </w:rPr>
              <w:t>0</w:t>
            </w:r>
            <w:r>
              <w:rPr>
                <w:rFonts w:hint="default" w:ascii="Times New Roman" w:hAnsi="Times New Roman" w:eastAsia="方正仿宋_GBK" w:cs="Times New Roman"/>
                <w:spacing w:val="-2"/>
                <w:kern w:val="0"/>
                <w:position w:val="-3"/>
                <w:sz w:val="28"/>
                <w:szCs w:val="28"/>
              </w:rPr>
              <w:t>.0</w:t>
            </w:r>
            <w:r>
              <w:rPr>
                <w:rFonts w:hint="default" w:ascii="Times New Roman" w:hAnsi="Times New Roman" w:eastAsia="方正仿宋_GBK" w:cs="Times New Roman"/>
                <w:kern w:val="0"/>
                <w:position w:val="-3"/>
                <w:sz w:val="28"/>
                <w:szCs w:val="28"/>
              </w:rPr>
              <w:t>4</w:t>
            </w:r>
          </w:p>
        </w:tc>
        <w:tc>
          <w:tcPr>
            <w:tcW w:w="1136" w:type="dxa"/>
            <w:noWrap w:val="0"/>
            <w:vAlign w:val="center"/>
          </w:tcPr>
          <w:p w14:paraId="4D00FB2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3</w:t>
            </w:r>
          </w:p>
        </w:tc>
        <w:tc>
          <w:tcPr>
            <w:tcW w:w="1091" w:type="dxa"/>
            <w:noWrap w:val="0"/>
            <w:vAlign w:val="center"/>
          </w:tcPr>
          <w:p w14:paraId="23D89646">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2</w:t>
            </w:r>
          </w:p>
        </w:tc>
        <w:tc>
          <w:tcPr>
            <w:tcW w:w="1116" w:type="dxa"/>
            <w:noWrap w:val="0"/>
            <w:vAlign w:val="center"/>
          </w:tcPr>
          <w:p w14:paraId="5D0378F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1</w:t>
            </w:r>
          </w:p>
        </w:tc>
        <w:tc>
          <w:tcPr>
            <w:tcW w:w="1116" w:type="dxa"/>
            <w:noWrap w:val="0"/>
            <w:vAlign w:val="center"/>
          </w:tcPr>
          <w:p w14:paraId="3652426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1</w:t>
            </w:r>
          </w:p>
        </w:tc>
        <w:tc>
          <w:tcPr>
            <w:tcW w:w="1117" w:type="dxa"/>
            <w:noWrap w:val="0"/>
            <w:vAlign w:val="center"/>
          </w:tcPr>
          <w:p w14:paraId="627AB097">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1</w:t>
            </w:r>
          </w:p>
        </w:tc>
      </w:tr>
      <w:tr w14:paraId="5160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67CA552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三</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3C21081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2314DF8A">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36" w:type="dxa"/>
            <w:noWrap w:val="0"/>
            <w:vAlign w:val="center"/>
          </w:tcPr>
          <w:p w14:paraId="4260FC5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2</w:t>
            </w:r>
          </w:p>
        </w:tc>
        <w:tc>
          <w:tcPr>
            <w:tcW w:w="1091" w:type="dxa"/>
            <w:noWrap w:val="0"/>
            <w:vAlign w:val="center"/>
          </w:tcPr>
          <w:p w14:paraId="015AEA7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2</w:t>
            </w:r>
          </w:p>
        </w:tc>
        <w:tc>
          <w:tcPr>
            <w:tcW w:w="1116" w:type="dxa"/>
            <w:noWrap w:val="0"/>
            <w:vAlign w:val="center"/>
          </w:tcPr>
          <w:p w14:paraId="136ADBAB">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5</w:t>
            </w:r>
          </w:p>
        </w:tc>
        <w:tc>
          <w:tcPr>
            <w:tcW w:w="1116" w:type="dxa"/>
            <w:noWrap w:val="0"/>
            <w:vAlign w:val="center"/>
          </w:tcPr>
          <w:p w14:paraId="6F53DF2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5</w:t>
            </w:r>
          </w:p>
        </w:tc>
        <w:tc>
          <w:tcPr>
            <w:tcW w:w="1117" w:type="dxa"/>
            <w:noWrap w:val="0"/>
            <w:vAlign w:val="center"/>
          </w:tcPr>
          <w:p w14:paraId="0E229B1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5</w:t>
            </w:r>
          </w:p>
        </w:tc>
      </w:tr>
      <w:tr w14:paraId="3065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7831A56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四</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31999CC2">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2D93ED7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36" w:type="dxa"/>
            <w:noWrap w:val="0"/>
            <w:vAlign w:val="center"/>
          </w:tcPr>
          <w:p w14:paraId="40A0389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091" w:type="dxa"/>
            <w:noWrap w:val="0"/>
            <w:vAlign w:val="center"/>
          </w:tcPr>
          <w:p w14:paraId="78A87E3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kern w:val="0"/>
                <w:position w:val="-3"/>
                <w:sz w:val="28"/>
                <w:szCs w:val="28"/>
              </w:rPr>
              <w:t>0</w:t>
            </w:r>
          </w:p>
        </w:tc>
        <w:tc>
          <w:tcPr>
            <w:tcW w:w="1116" w:type="dxa"/>
            <w:noWrap w:val="0"/>
            <w:vAlign w:val="center"/>
          </w:tcPr>
          <w:p w14:paraId="0BDF99F7">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3</w:t>
            </w:r>
          </w:p>
        </w:tc>
        <w:tc>
          <w:tcPr>
            <w:tcW w:w="1116" w:type="dxa"/>
            <w:noWrap w:val="0"/>
            <w:vAlign w:val="center"/>
          </w:tcPr>
          <w:p w14:paraId="68D3384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5</w:t>
            </w:r>
          </w:p>
        </w:tc>
        <w:tc>
          <w:tcPr>
            <w:tcW w:w="1117" w:type="dxa"/>
            <w:noWrap w:val="0"/>
            <w:vAlign w:val="center"/>
          </w:tcPr>
          <w:p w14:paraId="6F6C3CD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5</w:t>
            </w:r>
          </w:p>
        </w:tc>
      </w:tr>
      <w:tr w14:paraId="7DC1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224E5EE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五</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21F2E74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5EF9C46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36" w:type="dxa"/>
            <w:noWrap w:val="0"/>
            <w:vAlign w:val="center"/>
          </w:tcPr>
          <w:p w14:paraId="1FB813D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091" w:type="dxa"/>
            <w:noWrap w:val="0"/>
            <w:vAlign w:val="center"/>
          </w:tcPr>
          <w:p w14:paraId="038323A1">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6" w:type="dxa"/>
            <w:noWrap w:val="0"/>
            <w:vAlign w:val="center"/>
          </w:tcPr>
          <w:p w14:paraId="3B99222D">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spacing w:val="-1"/>
                <w:kern w:val="0"/>
                <w:position w:val="-2"/>
                <w:sz w:val="28"/>
                <w:szCs w:val="28"/>
              </w:rPr>
              <w:t>.</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1</w:t>
            </w:r>
          </w:p>
        </w:tc>
        <w:tc>
          <w:tcPr>
            <w:tcW w:w="1116" w:type="dxa"/>
            <w:noWrap w:val="0"/>
            <w:vAlign w:val="center"/>
          </w:tcPr>
          <w:p w14:paraId="12595BA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4</w:t>
            </w:r>
          </w:p>
        </w:tc>
        <w:tc>
          <w:tcPr>
            <w:tcW w:w="1117" w:type="dxa"/>
            <w:noWrap w:val="0"/>
            <w:vAlign w:val="center"/>
          </w:tcPr>
          <w:p w14:paraId="228E319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w:t>
            </w:r>
            <w:r>
              <w:rPr>
                <w:rFonts w:hint="default" w:ascii="Times New Roman" w:hAnsi="Times New Roman" w:eastAsia="方正仿宋_GBK" w:cs="Times New Roman"/>
                <w:spacing w:val="-1"/>
                <w:kern w:val="0"/>
                <w:position w:val="-2"/>
                <w:sz w:val="28"/>
                <w:szCs w:val="28"/>
              </w:rPr>
              <w:t>0</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4</w:t>
            </w:r>
          </w:p>
        </w:tc>
      </w:tr>
      <w:tr w14:paraId="1A28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7213B59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六</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68EB8CF6">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5869558A">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36" w:type="dxa"/>
            <w:noWrap w:val="0"/>
            <w:vAlign w:val="center"/>
          </w:tcPr>
          <w:p w14:paraId="7193AF71">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091" w:type="dxa"/>
            <w:noWrap w:val="0"/>
            <w:vAlign w:val="center"/>
          </w:tcPr>
          <w:p w14:paraId="25048600">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6" w:type="dxa"/>
            <w:noWrap w:val="0"/>
            <w:vAlign w:val="center"/>
          </w:tcPr>
          <w:p w14:paraId="27C69EDC">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6" w:type="dxa"/>
            <w:noWrap w:val="0"/>
            <w:vAlign w:val="center"/>
          </w:tcPr>
          <w:p w14:paraId="4AAB645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spacing w:val="-1"/>
                <w:kern w:val="0"/>
                <w:position w:val="-2"/>
                <w:sz w:val="28"/>
                <w:szCs w:val="28"/>
              </w:rPr>
              <w:t>.</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2</w:t>
            </w:r>
          </w:p>
        </w:tc>
        <w:tc>
          <w:tcPr>
            <w:tcW w:w="1117" w:type="dxa"/>
            <w:noWrap w:val="0"/>
            <w:vAlign w:val="center"/>
          </w:tcPr>
          <w:p w14:paraId="079DD46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kern w:val="0"/>
                <w:position w:val="-3"/>
                <w:sz w:val="28"/>
                <w:szCs w:val="28"/>
              </w:rPr>
              <w:t>0</w:t>
            </w:r>
          </w:p>
        </w:tc>
      </w:tr>
      <w:tr w14:paraId="2799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502" w:type="dxa"/>
            <w:noWrap w:val="0"/>
            <w:vAlign w:val="center"/>
          </w:tcPr>
          <w:p w14:paraId="789A920F">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4"/>
                <w:kern w:val="0"/>
                <w:position w:val="-3"/>
                <w:sz w:val="28"/>
                <w:szCs w:val="28"/>
              </w:rPr>
              <w:t>七</w:t>
            </w:r>
            <w:r>
              <w:rPr>
                <w:rFonts w:hint="default" w:ascii="Times New Roman" w:hAnsi="Times New Roman" w:eastAsia="方正仿宋_GBK" w:cs="Times New Roman"/>
                <w:kern w:val="0"/>
                <w:position w:val="-3"/>
                <w:sz w:val="28"/>
                <w:szCs w:val="28"/>
              </w:rPr>
              <w:t>层</w:t>
            </w:r>
          </w:p>
        </w:tc>
        <w:tc>
          <w:tcPr>
            <w:tcW w:w="1015" w:type="dxa"/>
            <w:noWrap w:val="0"/>
            <w:vAlign w:val="center"/>
          </w:tcPr>
          <w:p w14:paraId="5A37431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968" w:type="dxa"/>
            <w:noWrap w:val="0"/>
            <w:vAlign w:val="center"/>
          </w:tcPr>
          <w:p w14:paraId="380C143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36" w:type="dxa"/>
            <w:noWrap w:val="0"/>
            <w:vAlign w:val="center"/>
          </w:tcPr>
          <w:p w14:paraId="779BABE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091" w:type="dxa"/>
            <w:noWrap w:val="0"/>
            <w:vAlign w:val="center"/>
          </w:tcPr>
          <w:p w14:paraId="23709ED4">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6" w:type="dxa"/>
            <w:noWrap w:val="0"/>
            <w:vAlign w:val="center"/>
          </w:tcPr>
          <w:p w14:paraId="0CEED1AB">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6" w:type="dxa"/>
            <w:noWrap w:val="0"/>
            <w:vAlign w:val="center"/>
          </w:tcPr>
          <w:p w14:paraId="33DD92F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p>
        </w:tc>
        <w:tc>
          <w:tcPr>
            <w:tcW w:w="1117" w:type="dxa"/>
            <w:noWrap w:val="0"/>
            <w:vAlign w:val="center"/>
          </w:tcPr>
          <w:p w14:paraId="73678BA6">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kern w:val="0"/>
                <w:position w:val="-3"/>
                <w:sz w:val="28"/>
                <w:szCs w:val="28"/>
              </w:rPr>
            </w:pP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spacing w:val="-1"/>
                <w:kern w:val="0"/>
                <w:position w:val="-2"/>
                <w:sz w:val="28"/>
                <w:szCs w:val="28"/>
              </w:rPr>
              <w:t>.</w:t>
            </w:r>
            <w:r>
              <w:rPr>
                <w:rFonts w:hint="default" w:ascii="Times New Roman" w:hAnsi="Times New Roman" w:eastAsia="方正仿宋_GBK" w:cs="Times New Roman"/>
                <w:spacing w:val="-2"/>
                <w:kern w:val="0"/>
                <w:position w:val="-2"/>
                <w:sz w:val="28"/>
                <w:szCs w:val="28"/>
              </w:rPr>
              <w:t>0</w:t>
            </w:r>
            <w:r>
              <w:rPr>
                <w:rFonts w:hint="default" w:ascii="Times New Roman" w:hAnsi="Times New Roman" w:eastAsia="方正仿宋_GBK" w:cs="Times New Roman"/>
                <w:kern w:val="0"/>
                <w:position w:val="-2"/>
                <w:sz w:val="28"/>
                <w:szCs w:val="28"/>
              </w:rPr>
              <w:t>2</w:t>
            </w:r>
          </w:p>
        </w:tc>
      </w:tr>
    </w:tbl>
    <w:p w14:paraId="3122E0C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注：总层数八层（含八层）以上的住宅房屋各楼层系数均为 0。</w:t>
      </w:r>
    </w:p>
    <w:p w14:paraId="56ACC1A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五、住宅房屋征收补偿计算公式</w:t>
      </w:r>
    </w:p>
    <w:p w14:paraId="75B41FC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基准价格=重置价格×（成新系数+楼层系数）+区位价格</w:t>
      </w:r>
    </w:p>
    <w:p w14:paraId="2A855FA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被征收房屋补偿金额=基准价格×房屋建筑面积</w:t>
      </w:r>
    </w:p>
    <w:p w14:paraId="37A4C6F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六、鸠江区沈巷镇、二坝镇、汤沟镇、白茆镇、湾沚区、繁昌区农村村民住宅征收补偿标准另行制定。</w:t>
      </w:r>
    </w:p>
    <w:p w14:paraId="723565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七、本标准由芜湖市住房城乡建设局会同芜湖市自然资源和规划局共同解释，自公布之日起生效。</w:t>
      </w:r>
    </w:p>
    <w:p w14:paraId="004110F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附件：1-1．附属设施补偿</w:t>
      </w:r>
    </w:p>
    <w:p w14:paraId="2C6ED251">
      <w:pPr>
        <w:keepNext w:val="0"/>
        <w:keepLines w:val="0"/>
        <w:pageBreakBefore w:val="0"/>
        <w:widowControl w:val="0"/>
        <w:kinsoku/>
        <w:wordWrap/>
        <w:overflowPunct w:val="0"/>
        <w:topLinePunct w:val="0"/>
        <w:autoSpaceDE/>
        <w:autoSpaceDN/>
        <w:bidi w:val="0"/>
        <w:adjustRightInd/>
        <w:snapToGrid/>
        <w:spacing w:line="59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1-2．室内外装饰装修补偿</w:t>
      </w:r>
    </w:p>
    <w:p w14:paraId="05BDB806">
      <w:pPr>
        <w:keepNext w:val="0"/>
        <w:keepLines w:val="0"/>
        <w:pageBreakBefore w:val="0"/>
        <w:widowControl w:val="0"/>
        <w:kinsoku/>
        <w:wordWrap/>
        <w:overflowPunct w:val="0"/>
        <w:topLinePunct w:val="0"/>
        <w:autoSpaceDE/>
        <w:autoSpaceDN/>
        <w:bidi w:val="0"/>
        <w:adjustRightInd/>
        <w:snapToGrid/>
        <w:spacing w:line="59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1-3．其他补助</w:t>
      </w:r>
    </w:p>
    <w:p w14:paraId="3CCF7897">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6CCAD11">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2B438A3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53C802E9">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037F478">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0A1E50E">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639FD2D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6DDB8CC2">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00E03A2D">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4CA35FE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E2C3FE8">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49E1D8A7">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2C9BB21E">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D2380B5">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51C2EEB">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191FF246">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A449746">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CE3FAE6">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80C543C">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3640BE86">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附件1-1</w:t>
      </w:r>
    </w:p>
    <w:p w14:paraId="5BDA74C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0FF5BCA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附属设施补偿</w:t>
      </w:r>
    </w:p>
    <w:p w14:paraId="0E393311">
      <w:pPr>
        <w:spacing w:line="600" w:lineRule="exact"/>
        <w:jc w:val="center"/>
        <w:rPr>
          <w:rFonts w:hint="default" w:ascii="Times New Roman" w:hAnsi="Times New Roman" w:eastAsia="方正小标宋简体" w:cs="Times New Roman"/>
          <w:sz w:val="44"/>
          <w:szCs w:val="44"/>
        </w:rPr>
      </w:pPr>
    </w:p>
    <w:tbl>
      <w:tblPr>
        <w:tblStyle w:val="8"/>
        <w:tblW w:w="9586" w:type="dxa"/>
        <w:jc w:val="center"/>
        <w:tblLayout w:type="fixed"/>
        <w:tblCellMar>
          <w:top w:w="0" w:type="dxa"/>
          <w:left w:w="108" w:type="dxa"/>
          <w:bottom w:w="0" w:type="dxa"/>
          <w:right w:w="108" w:type="dxa"/>
        </w:tblCellMar>
      </w:tblPr>
      <w:tblGrid>
        <w:gridCol w:w="878"/>
        <w:gridCol w:w="2046"/>
        <w:gridCol w:w="3789"/>
        <w:gridCol w:w="2873"/>
      </w:tblGrid>
      <w:tr w14:paraId="66009AD3">
        <w:tblPrEx>
          <w:tblCellMar>
            <w:top w:w="0" w:type="dxa"/>
            <w:left w:w="108" w:type="dxa"/>
            <w:bottom w:w="0" w:type="dxa"/>
            <w:right w:w="108" w:type="dxa"/>
          </w:tblCellMar>
        </w:tblPrEx>
        <w:trPr>
          <w:trHeight w:val="567" w:hRule="atLeast"/>
          <w:jc w:val="center"/>
        </w:trPr>
        <w:tc>
          <w:tcPr>
            <w:tcW w:w="2924" w:type="dxa"/>
            <w:gridSpan w:val="2"/>
            <w:tcBorders>
              <w:top w:val="single" w:color="000000" w:sz="4" w:space="0"/>
              <w:left w:val="single" w:color="000000" w:sz="4" w:space="0"/>
              <w:bottom w:val="single" w:color="000000" w:sz="4" w:space="0"/>
              <w:right w:val="single" w:color="000000" w:sz="4" w:space="0"/>
            </w:tcBorders>
            <w:noWrap w:val="0"/>
            <w:vAlign w:val="center"/>
          </w:tcPr>
          <w:p w14:paraId="344B10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Cs/>
                <w:sz w:val="28"/>
                <w:szCs w:val="28"/>
              </w:rPr>
            </w:pPr>
            <w:r>
              <w:rPr>
                <w:rFonts w:hint="default" w:ascii="Times New Roman" w:hAnsi="Times New Roman" w:eastAsia="方正黑体_GBK" w:cs="Times New Roman"/>
                <w:bCs/>
                <w:kern w:val="0"/>
                <w:sz w:val="28"/>
                <w:szCs w:val="28"/>
                <w:lang w:bidi="ar"/>
              </w:rPr>
              <w:t>名称</w:t>
            </w:r>
          </w:p>
        </w:tc>
        <w:tc>
          <w:tcPr>
            <w:tcW w:w="3789" w:type="dxa"/>
            <w:tcBorders>
              <w:top w:val="single" w:color="000000" w:sz="4" w:space="0"/>
              <w:left w:val="nil"/>
              <w:bottom w:val="single" w:color="000000" w:sz="4" w:space="0"/>
              <w:right w:val="single" w:color="000000" w:sz="4" w:space="0"/>
            </w:tcBorders>
            <w:noWrap w:val="0"/>
            <w:vAlign w:val="center"/>
          </w:tcPr>
          <w:p w14:paraId="0DCBDF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Cs/>
                <w:sz w:val="28"/>
                <w:szCs w:val="28"/>
              </w:rPr>
            </w:pPr>
            <w:r>
              <w:rPr>
                <w:rFonts w:hint="default" w:ascii="Times New Roman" w:hAnsi="Times New Roman" w:eastAsia="方正黑体_GBK" w:cs="Times New Roman"/>
                <w:bCs/>
                <w:kern w:val="0"/>
                <w:sz w:val="28"/>
                <w:szCs w:val="28"/>
                <w:lang w:bidi="ar"/>
              </w:rPr>
              <w:t>补偿金额</w:t>
            </w:r>
          </w:p>
        </w:tc>
        <w:tc>
          <w:tcPr>
            <w:tcW w:w="2873" w:type="dxa"/>
            <w:tcBorders>
              <w:top w:val="single" w:color="000000" w:sz="4" w:space="0"/>
              <w:left w:val="nil"/>
              <w:bottom w:val="single" w:color="000000" w:sz="4" w:space="0"/>
              <w:right w:val="single" w:color="000000" w:sz="4" w:space="0"/>
            </w:tcBorders>
            <w:noWrap w:val="0"/>
            <w:vAlign w:val="center"/>
          </w:tcPr>
          <w:p w14:paraId="622985B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Cs/>
                <w:kern w:val="0"/>
                <w:sz w:val="28"/>
                <w:szCs w:val="28"/>
                <w:lang w:bidi="ar"/>
              </w:rPr>
            </w:pPr>
            <w:r>
              <w:rPr>
                <w:rFonts w:hint="default" w:ascii="Times New Roman" w:hAnsi="Times New Roman" w:eastAsia="方正黑体_GBK" w:cs="Times New Roman"/>
                <w:bCs/>
                <w:kern w:val="0"/>
                <w:sz w:val="28"/>
                <w:szCs w:val="28"/>
                <w:lang w:bidi="ar"/>
              </w:rPr>
              <w:t>备注</w:t>
            </w:r>
          </w:p>
        </w:tc>
      </w:tr>
      <w:tr w14:paraId="50B53AAC">
        <w:tblPrEx>
          <w:tblCellMar>
            <w:top w:w="0" w:type="dxa"/>
            <w:left w:w="108" w:type="dxa"/>
            <w:bottom w:w="0" w:type="dxa"/>
            <w:right w:w="108" w:type="dxa"/>
          </w:tblCellMar>
        </w:tblPrEx>
        <w:trPr>
          <w:trHeight w:val="539"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21E49C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通讯</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312F8B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有线电视</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0D3A9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350元/户</w:t>
            </w:r>
          </w:p>
        </w:tc>
        <w:tc>
          <w:tcPr>
            <w:tcW w:w="2873" w:type="dxa"/>
            <w:vMerge w:val="restart"/>
            <w:tcBorders>
              <w:top w:val="single" w:color="000000" w:sz="4" w:space="0"/>
              <w:left w:val="single" w:color="000000" w:sz="4" w:space="0"/>
              <w:right w:val="single" w:color="000000" w:sz="4" w:space="0"/>
            </w:tcBorders>
            <w:noWrap w:val="0"/>
            <w:vAlign w:val="center"/>
          </w:tcPr>
          <w:p w14:paraId="029C71A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移装费</w:t>
            </w:r>
          </w:p>
        </w:tc>
      </w:tr>
      <w:tr w14:paraId="03FB24FB">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7D2ACC">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6AFE2A9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家庭宽带</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72C2C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108元/条</w:t>
            </w:r>
          </w:p>
        </w:tc>
        <w:tc>
          <w:tcPr>
            <w:tcW w:w="2873" w:type="dxa"/>
            <w:vMerge w:val="continue"/>
            <w:tcBorders>
              <w:left w:val="single" w:color="000000" w:sz="4" w:space="0"/>
              <w:right w:val="single" w:color="000000" w:sz="4" w:space="0"/>
            </w:tcBorders>
            <w:noWrap w:val="0"/>
            <w:vAlign w:val="center"/>
          </w:tcPr>
          <w:p w14:paraId="5118A1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44E2AE5C">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DBCC0B">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409CA4D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固定电话</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0F80F2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108元/门</w:t>
            </w:r>
          </w:p>
        </w:tc>
        <w:tc>
          <w:tcPr>
            <w:tcW w:w="2873" w:type="dxa"/>
            <w:vMerge w:val="continue"/>
            <w:tcBorders>
              <w:left w:val="single" w:color="000000" w:sz="4" w:space="0"/>
              <w:bottom w:val="single" w:color="000000" w:sz="4" w:space="0"/>
              <w:right w:val="single" w:color="000000" w:sz="4" w:space="0"/>
            </w:tcBorders>
            <w:noWrap w:val="0"/>
            <w:vAlign w:val="center"/>
          </w:tcPr>
          <w:p w14:paraId="42B3AE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3F468E3">
        <w:tblPrEx>
          <w:tblCellMar>
            <w:top w:w="0" w:type="dxa"/>
            <w:left w:w="108" w:type="dxa"/>
            <w:bottom w:w="0" w:type="dxa"/>
            <w:right w:w="108" w:type="dxa"/>
          </w:tblCellMar>
        </w:tblPrEx>
        <w:trPr>
          <w:trHeight w:val="539"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39EFF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空调</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4685D0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分体式</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25CF38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400元/台</w:t>
            </w:r>
          </w:p>
        </w:tc>
        <w:tc>
          <w:tcPr>
            <w:tcW w:w="2873" w:type="dxa"/>
            <w:vMerge w:val="restart"/>
            <w:tcBorders>
              <w:top w:val="single" w:color="000000" w:sz="4" w:space="0"/>
              <w:left w:val="single" w:color="000000" w:sz="4" w:space="0"/>
              <w:right w:val="single" w:color="000000" w:sz="4" w:space="0"/>
            </w:tcBorders>
            <w:noWrap w:val="0"/>
            <w:vAlign w:val="center"/>
          </w:tcPr>
          <w:p w14:paraId="53BFB9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移装费</w:t>
            </w:r>
          </w:p>
        </w:tc>
      </w:tr>
      <w:tr w14:paraId="781AE0D7">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6C15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711E28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柜式</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7B9562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600</w:t>
            </w:r>
            <w:r>
              <w:rPr>
                <w:rFonts w:hint="default" w:ascii="Times New Roman" w:hAnsi="Times New Roman" w:eastAsia="方正仿宋_GBK" w:cs="Times New Roman"/>
                <w:kern w:val="0"/>
                <w:sz w:val="28"/>
                <w:szCs w:val="28"/>
                <w:lang w:bidi="ar"/>
              </w:rPr>
              <w:t>元/台</w:t>
            </w:r>
          </w:p>
        </w:tc>
        <w:tc>
          <w:tcPr>
            <w:tcW w:w="2873" w:type="dxa"/>
            <w:vMerge w:val="continue"/>
            <w:tcBorders>
              <w:left w:val="single" w:color="000000" w:sz="4" w:space="0"/>
              <w:right w:val="single" w:color="000000" w:sz="4" w:space="0"/>
            </w:tcBorders>
            <w:noWrap w:val="0"/>
            <w:vAlign w:val="center"/>
          </w:tcPr>
          <w:p w14:paraId="337582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CC1F05D">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47E30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56CE68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中央空调</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36165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450元（主机）+400元/台*分机数</w:t>
            </w:r>
          </w:p>
        </w:tc>
        <w:tc>
          <w:tcPr>
            <w:tcW w:w="2873" w:type="dxa"/>
            <w:vMerge w:val="continue"/>
            <w:tcBorders>
              <w:left w:val="single" w:color="000000" w:sz="4" w:space="0"/>
              <w:right w:val="single" w:color="000000" w:sz="4" w:space="0"/>
            </w:tcBorders>
            <w:noWrap w:val="0"/>
            <w:vAlign w:val="center"/>
          </w:tcPr>
          <w:p w14:paraId="416A02D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r>
      <w:tr w14:paraId="5E5EBF26">
        <w:tblPrEx>
          <w:tblCellMar>
            <w:top w:w="0" w:type="dxa"/>
            <w:left w:w="108" w:type="dxa"/>
            <w:bottom w:w="0" w:type="dxa"/>
            <w:right w:w="108" w:type="dxa"/>
          </w:tblCellMar>
        </w:tblPrEx>
        <w:trPr>
          <w:trHeight w:val="539"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1F7A84F">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热水器</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09AE07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太阳能</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D2F4AD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350元/个</w:t>
            </w:r>
          </w:p>
        </w:tc>
        <w:tc>
          <w:tcPr>
            <w:tcW w:w="2873" w:type="dxa"/>
            <w:vMerge w:val="restart"/>
            <w:tcBorders>
              <w:top w:val="single" w:color="000000" w:sz="4" w:space="0"/>
              <w:left w:val="single" w:color="000000" w:sz="4" w:space="0"/>
              <w:right w:val="single" w:color="000000" w:sz="4" w:space="0"/>
            </w:tcBorders>
            <w:noWrap w:val="0"/>
            <w:vAlign w:val="center"/>
          </w:tcPr>
          <w:p w14:paraId="09F403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移装费</w:t>
            </w:r>
          </w:p>
        </w:tc>
      </w:tr>
      <w:tr w14:paraId="555BB8EF">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25F0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03B011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电能</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09E59A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100元/个</w:t>
            </w:r>
          </w:p>
        </w:tc>
        <w:tc>
          <w:tcPr>
            <w:tcW w:w="2873" w:type="dxa"/>
            <w:vMerge w:val="continue"/>
            <w:tcBorders>
              <w:left w:val="single" w:color="000000" w:sz="4" w:space="0"/>
              <w:right w:val="single" w:color="000000" w:sz="4" w:space="0"/>
            </w:tcBorders>
            <w:noWrap w:val="0"/>
            <w:vAlign w:val="center"/>
          </w:tcPr>
          <w:p w14:paraId="20EAC79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365FB376">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28E2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0DC2B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燃气、煤气</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AC802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150元/个</w:t>
            </w:r>
          </w:p>
        </w:tc>
        <w:tc>
          <w:tcPr>
            <w:tcW w:w="2873" w:type="dxa"/>
            <w:vMerge w:val="continue"/>
            <w:tcBorders>
              <w:left w:val="single" w:color="000000" w:sz="4" w:space="0"/>
              <w:bottom w:val="single" w:color="000000" w:sz="4" w:space="0"/>
              <w:right w:val="single" w:color="000000" w:sz="4" w:space="0"/>
            </w:tcBorders>
            <w:noWrap w:val="0"/>
            <w:vAlign w:val="center"/>
          </w:tcPr>
          <w:p w14:paraId="1ABC7B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82CA43B">
        <w:tblPrEx>
          <w:tblCellMar>
            <w:top w:w="0" w:type="dxa"/>
            <w:left w:w="108" w:type="dxa"/>
            <w:bottom w:w="0" w:type="dxa"/>
            <w:right w:w="108" w:type="dxa"/>
          </w:tblCellMar>
        </w:tblPrEx>
        <w:trPr>
          <w:trHeight w:val="539"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733E2C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围墙</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13D29D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门斗</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787F4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120元/平方米</w:t>
            </w:r>
          </w:p>
        </w:tc>
        <w:tc>
          <w:tcPr>
            <w:tcW w:w="2873" w:type="dxa"/>
            <w:vMerge w:val="restart"/>
            <w:tcBorders>
              <w:top w:val="single" w:color="000000" w:sz="4" w:space="0"/>
              <w:left w:val="single" w:color="000000" w:sz="4" w:space="0"/>
              <w:right w:val="single" w:color="000000" w:sz="4" w:space="0"/>
            </w:tcBorders>
            <w:noWrap w:val="0"/>
            <w:vAlign w:val="center"/>
          </w:tcPr>
          <w:p w14:paraId="296649F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2BB19C0C">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E4696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0933FE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砖石墙</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B3B535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160元/平方米</w:t>
            </w:r>
          </w:p>
        </w:tc>
        <w:tc>
          <w:tcPr>
            <w:tcW w:w="2873" w:type="dxa"/>
            <w:vMerge w:val="continue"/>
            <w:tcBorders>
              <w:left w:val="single" w:color="000000" w:sz="4" w:space="0"/>
              <w:bottom w:val="single" w:color="auto" w:sz="4" w:space="0"/>
              <w:right w:val="single" w:color="000000" w:sz="4" w:space="0"/>
            </w:tcBorders>
            <w:noWrap w:val="0"/>
            <w:vAlign w:val="center"/>
          </w:tcPr>
          <w:p w14:paraId="2C1838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91A25F4">
        <w:tblPrEx>
          <w:tblCellMar>
            <w:top w:w="0" w:type="dxa"/>
            <w:left w:w="108" w:type="dxa"/>
            <w:bottom w:w="0" w:type="dxa"/>
            <w:right w:w="108" w:type="dxa"/>
          </w:tblCellMar>
        </w:tblPrEx>
        <w:trPr>
          <w:trHeight w:val="539"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B695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6FB53A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土、篱笆墙</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7BE35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50元/平方米</w:t>
            </w:r>
          </w:p>
        </w:tc>
        <w:tc>
          <w:tcPr>
            <w:tcW w:w="2873" w:type="dxa"/>
            <w:vMerge w:val="continue"/>
            <w:tcBorders>
              <w:top w:val="single" w:color="auto" w:sz="4" w:space="0"/>
              <w:left w:val="single" w:color="000000" w:sz="4" w:space="0"/>
              <w:bottom w:val="single" w:color="auto" w:sz="4" w:space="0"/>
              <w:right w:val="single" w:color="000000" w:sz="4" w:space="0"/>
            </w:tcBorders>
            <w:noWrap w:val="0"/>
            <w:vAlign w:val="center"/>
          </w:tcPr>
          <w:p w14:paraId="5AFB97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2C787115">
        <w:tblPrEx>
          <w:tblCellMar>
            <w:top w:w="0" w:type="dxa"/>
            <w:left w:w="108" w:type="dxa"/>
            <w:bottom w:w="0" w:type="dxa"/>
            <w:right w:w="108" w:type="dxa"/>
          </w:tblCellMar>
        </w:tblPrEx>
        <w:trPr>
          <w:trHeight w:val="510"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642826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防盗设施</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D5F5A9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铁门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7BCE84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220元/平方米</w:t>
            </w:r>
          </w:p>
        </w:tc>
        <w:tc>
          <w:tcPr>
            <w:tcW w:w="2873" w:type="dxa"/>
            <w:vMerge w:val="restart"/>
            <w:tcBorders>
              <w:top w:val="single" w:color="000000" w:sz="4" w:space="0"/>
              <w:left w:val="single" w:color="000000" w:sz="4" w:space="0"/>
              <w:right w:val="single" w:color="000000" w:sz="4" w:space="0"/>
            </w:tcBorders>
            <w:noWrap w:val="0"/>
            <w:vAlign w:val="center"/>
          </w:tcPr>
          <w:p w14:paraId="411695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A9977E3">
        <w:tblPrEx>
          <w:tblCellMar>
            <w:top w:w="0" w:type="dxa"/>
            <w:left w:w="108" w:type="dxa"/>
            <w:bottom w:w="0" w:type="dxa"/>
            <w:right w:w="108" w:type="dxa"/>
          </w:tblCellMar>
        </w:tblPrEx>
        <w:trPr>
          <w:trHeight w:val="51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83538">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3D3AB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卷帘门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6C27BD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120元/平方米</w:t>
            </w:r>
          </w:p>
        </w:tc>
        <w:tc>
          <w:tcPr>
            <w:tcW w:w="2873" w:type="dxa"/>
            <w:vMerge w:val="continue"/>
            <w:tcBorders>
              <w:left w:val="single" w:color="000000" w:sz="4" w:space="0"/>
              <w:right w:val="single" w:color="000000" w:sz="4" w:space="0"/>
            </w:tcBorders>
            <w:noWrap w:val="0"/>
            <w:vAlign w:val="center"/>
          </w:tcPr>
          <w:p w14:paraId="761A407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BF32BD2">
        <w:tblPrEx>
          <w:tblCellMar>
            <w:top w:w="0" w:type="dxa"/>
            <w:left w:w="108" w:type="dxa"/>
            <w:bottom w:w="0" w:type="dxa"/>
            <w:right w:w="108" w:type="dxa"/>
          </w:tblCellMar>
        </w:tblPrEx>
        <w:trPr>
          <w:trHeight w:val="51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93EE8">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FD4E8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型材卷帘门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2DCD50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270元/平方米</w:t>
            </w:r>
          </w:p>
        </w:tc>
        <w:tc>
          <w:tcPr>
            <w:tcW w:w="2873" w:type="dxa"/>
            <w:vMerge w:val="continue"/>
            <w:tcBorders>
              <w:left w:val="single" w:color="000000" w:sz="4" w:space="0"/>
              <w:right w:val="single" w:color="000000" w:sz="4" w:space="0"/>
            </w:tcBorders>
            <w:noWrap w:val="0"/>
            <w:vAlign w:val="center"/>
          </w:tcPr>
          <w:p w14:paraId="2AF12A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640D4A7">
        <w:tblPrEx>
          <w:tblCellMar>
            <w:top w:w="0" w:type="dxa"/>
            <w:left w:w="108" w:type="dxa"/>
            <w:bottom w:w="0" w:type="dxa"/>
            <w:right w:w="108" w:type="dxa"/>
          </w:tblCellMar>
        </w:tblPrEx>
        <w:trPr>
          <w:trHeight w:val="51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128A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50A7167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彩钢防盗网</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82CBF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90元/平方米</w:t>
            </w:r>
          </w:p>
        </w:tc>
        <w:tc>
          <w:tcPr>
            <w:tcW w:w="2873" w:type="dxa"/>
            <w:vMerge w:val="continue"/>
            <w:tcBorders>
              <w:left w:val="single" w:color="000000" w:sz="4" w:space="0"/>
              <w:right w:val="single" w:color="000000" w:sz="4" w:space="0"/>
            </w:tcBorders>
            <w:noWrap w:val="0"/>
            <w:vAlign w:val="center"/>
          </w:tcPr>
          <w:p w14:paraId="7C6A91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208A83C">
        <w:tblPrEx>
          <w:tblCellMar>
            <w:top w:w="0" w:type="dxa"/>
            <w:left w:w="108" w:type="dxa"/>
            <w:bottom w:w="0" w:type="dxa"/>
            <w:right w:w="108" w:type="dxa"/>
          </w:tblCellMar>
        </w:tblPrEx>
        <w:trPr>
          <w:trHeight w:val="51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9E1A8">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62FB7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简易防盗门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CDC5F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300元/扇</w:t>
            </w:r>
          </w:p>
        </w:tc>
        <w:tc>
          <w:tcPr>
            <w:tcW w:w="2873" w:type="dxa"/>
            <w:vMerge w:val="continue"/>
            <w:tcBorders>
              <w:left w:val="single" w:color="000000" w:sz="4" w:space="0"/>
              <w:bottom w:val="single" w:color="000000" w:sz="4" w:space="0"/>
              <w:right w:val="single" w:color="000000" w:sz="4" w:space="0"/>
            </w:tcBorders>
            <w:noWrap w:val="0"/>
            <w:vAlign w:val="center"/>
          </w:tcPr>
          <w:p w14:paraId="16DFEA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620E8A9">
        <w:tblPrEx>
          <w:tblCellMar>
            <w:top w:w="0" w:type="dxa"/>
            <w:left w:w="108" w:type="dxa"/>
            <w:bottom w:w="0" w:type="dxa"/>
            <w:right w:w="108" w:type="dxa"/>
          </w:tblCellMar>
        </w:tblPrEx>
        <w:trPr>
          <w:trHeight w:val="510"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0B0D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4DEA56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品牌防盗门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83293F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1800元/扇</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2B20B6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有注册商标</w:t>
            </w:r>
          </w:p>
        </w:tc>
      </w:tr>
      <w:tr w14:paraId="621FCF4C">
        <w:tblPrEx>
          <w:tblCellMar>
            <w:top w:w="0" w:type="dxa"/>
            <w:left w:w="108" w:type="dxa"/>
            <w:bottom w:w="0" w:type="dxa"/>
            <w:right w:w="108" w:type="dxa"/>
          </w:tblCellMar>
        </w:tblPrEx>
        <w:trPr>
          <w:trHeight w:val="567" w:hRule="atLeast"/>
          <w:jc w:val="center"/>
        </w:trPr>
        <w:tc>
          <w:tcPr>
            <w:tcW w:w="2924" w:type="dxa"/>
            <w:gridSpan w:val="2"/>
            <w:tcBorders>
              <w:top w:val="single" w:color="000000" w:sz="4" w:space="0"/>
              <w:left w:val="single" w:color="000000" w:sz="4" w:space="0"/>
              <w:bottom w:val="single" w:color="000000" w:sz="4" w:space="0"/>
              <w:right w:val="single" w:color="000000" w:sz="4" w:space="0"/>
            </w:tcBorders>
            <w:noWrap w:val="0"/>
            <w:vAlign w:val="center"/>
          </w:tcPr>
          <w:p w14:paraId="533A56C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kern w:val="0"/>
                <w:sz w:val="28"/>
                <w:szCs w:val="28"/>
                <w:lang w:bidi="ar"/>
              </w:rPr>
            </w:pPr>
            <w:r>
              <w:rPr>
                <w:rFonts w:hint="default" w:ascii="Times New Roman" w:hAnsi="Times New Roman" w:eastAsia="方正黑体_GBK" w:cs="Times New Roman"/>
                <w:bCs/>
                <w:kern w:val="0"/>
                <w:sz w:val="28"/>
                <w:szCs w:val="28"/>
                <w:lang w:bidi="ar"/>
              </w:rPr>
              <w:t>名称</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D6F1A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kern w:val="0"/>
                <w:sz w:val="28"/>
                <w:szCs w:val="28"/>
                <w:lang w:bidi="ar"/>
              </w:rPr>
            </w:pPr>
            <w:r>
              <w:rPr>
                <w:rFonts w:hint="default" w:ascii="Times New Roman" w:hAnsi="Times New Roman" w:eastAsia="方正黑体_GBK" w:cs="Times New Roman"/>
                <w:bCs/>
                <w:kern w:val="0"/>
                <w:sz w:val="28"/>
                <w:szCs w:val="28"/>
                <w:lang w:bidi="ar"/>
              </w:rPr>
              <w:t>补偿金额</w:t>
            </w:r>
          </w:p>
        </w:tc>
        <w:tc>
          <w:tcPr>
            <w:tcW w:w="2873" w:type="dxa"/>
            <w:tcBorders>
              <w:top w:val="single" w:color="000000" w:sz="4" w:space="0"/>
              <w:left w:val="single" w:color="000000" w:sz="4" w:space="0"/>
              <w:right w:val="single" w:color="000000" w:sz="4" w:space="0"/>
            </w:tcBorders>
            <w:noWrap w:val="0"/>
            <w:vAlign w:val="center"/>
          </w:tcPr>
          <w:p w14:paraId="1BE466F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sz w:val="28"/>
                <w:szCs w:val="28"/>
              </w:rPr>
            </w:pPr>
            <w:r>
              <w:rPr>
                <w:rFonts w:hint="default" w:ascii="Times New Roman" w:hAnsi="Times New Roman" w:eastAsia="方正黑体_GBK" w:cs="Times New Roman"/>
                <w:bCs/>
                <w:kern w:val="0"/>
                <w:sz w:val="28"/>
                <w:szCs w:val="28"/>
                <w:lang w:bidi="ar"/>
              </w:rPr>
              <w:t>备注</w:t>
            </w:r>
          </w:p>
        </w:tc>
      </w:tr>
      <w:tr w14:paraId="64821E78">
        <w:tblPrEx>
          <w:tblCellMar>
            <w:top w:w="0" w:type="dxa"/>
            <w:left w:w="108" w:type="dxa"/>
            <w:bottom w:w="0" w:type="dxa"/>
            <w:right w:w="108" w:type="dxa"/>
          </w:tblCellMar>
        </w:tblPrEx>
        <w:trPr>
          <w:trHeight w:val="482"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125879A4">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外阳台</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0CC03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PVC门窗</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C71AD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290元/平方米</w:t>
            </w:r>
          </w:p>
        </w:tc>
        <w:tc>
          <w:tcPr>
            <w:tcW w:w="2873" w:type="dxa"/>
            <w:vMerge w:val="restart"/>
            <w:tcBorders>
              <w:top w:val="single" w:color="000000" w:sz="4" w:space="0"/>
              <w:left w:val="single" w:color="000000" w:sz="4" w:space="0"/>
              <w:right w:val="single" w:color="000000" w:sz="4" w:space="0"/>
            </w:tcBorders>
            <w:noWrap w:val="0"/>
            <w:vAlign w:val="center"/>
          </w:tcPr>
          <w:p w14:paraId="2BB544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自行封闭</w:t>
            </w:r>
          </w:p>
        </w:tc>
      </w:tr>
      <w:tr w14:paraId="7F7765DB">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5AFCD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7C684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铝合金门窗</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BBFB50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390元/平方米</w:t>
            </w:r>
          </w:p>
        </w:tc>
        <w:tc>
          <w:tcPr>
            <w:tcW w:w="2873" w:type="dxa"/>
            <w:vMerge w:val="continue"/>
            <w:tcBorders>
              <w:left w:val="single" w:color="000000" w:sz="4" w:space="0"/>
              <w:right w:val="single" w:color="000000" w:sz="4" w:space="0"/>
            </w:tcBorders>
            <w:noWrap w:val="0"/>
            <w:vAlign w:val="center"/>
          </w:tcPr>
          <w:p w14:paraId="00E213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38EFA09">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7D63E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5AD577D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木门窗</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4D84D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200元/平方米</w:t>
            </w:r>
          </w:p>
        </w:tc>
        <w:tc>
          <w:tcPr>
            <w:tcW w:w="2873" w:type="dxa"/>
            <w:vMerge w:val="continue"/>
            <w:tcBorders>
              <w:left w:val="single" w:color="000000" w:sz="4" w:space="0"/>
              <w:bottom w:val="single" w:color="000000" w:sz="4" w:space="0"/>
              <w:right w:val="single" w:color="000000" w:sz="4" w:space="0"/>
            </w:tcBorders>
            <w:noWrap w:val="0"/>
            <w:vAlign w:val="center"/>
          </w:tcPr>
          <w:p w14:paraId="160BB4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CBAF4AF">
        <w:tblPrEx>
          <w:tblCellMar>
            <w:top w:w="0" w:type="dxa"/>
            <w:left w:w="108" w:type="dxa"/>
            <w:bottom w:w="0" w:type="dxa"/>
            <w:right w:w="108" w:type="dxa"/>
          </w:tblCellMar>
        </w:tblPrEx>
        <w:trPr>
          <w:trHeight w:val="482"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D411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炉灶</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097BA4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抽油烟机</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22B5D4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100元/个</w:t>
            </w:r>
          </w:p>
        </w:tc>
        <w:tc>
          <w:tcPr>
            <w:tcW w:w="2873" w:type="dxa"/>
            <w:vMerge w:val="restart"/>
            <w:tcBorders>
              <w:top w:val="single" w:color="000000" w:sz="4" w:space="0"/>
              <w:left w:val="single" w:color="000000" w:sz="4" w:space="0"/>
              <w:right w:val="single" w:color="000000" w:sz="4" w:space="0"/>
            </w:tcBorders>
            <w:noWrap w:val="0"/>
            <w:vAlign w:val="center"/>
          </w:tcPr>
          <w:p w14:paraId="5D3C8A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移装费</w:t>
            </w:r>
          </w:p>
        </w:tc>
      </w:tr>
      <w:tr w14:paraId="4AEDECF7">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BBCAB9">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72785B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嵌入式燃气灶</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20C09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100元/个</w:t>
            </w:r>
          </w:p>
        </w:tc>
        <w:tc>
          <w:tcPr>
            <w:tcW w:w="2873" w:type="dxa"/>
            <w:vMerge w:val="continue"/>
            <w:tcBorders>
              <w:left w:val="single" w:color="000000" w:sz="4" w:space="0"/>
              <w:bottom w:val="single" w:color="000000" w:sz="4" w:space="0"/>
              <w:right w:val="single" w:color="000000" w:sz="4" w:space="0"/>
            </w:tcBorders>
            <w:noWrap w:val="0"/>
            <w:vAlign w:val="center"/>
          </w:tcPr>
          <w:p w14:paraId="0EC736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F9B6F8A">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FD20C">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26ABB7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燃气开户费</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0904BA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2000元/户</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278E32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选择安置房的不补偿</w:t>
            </w:r>
          </w:p>
        </w:tc>
      </w:tr>
      <w:tr w14:paraId="00E92430">
        <w:tblPrEx>
          <w:tblCellMar>
            <w:top w:w="0" w:type="dxa"/>
            <w:left w:w="108" w:type="dxa"/>
            <w:bottom w:w="0" w:type="dxa"/>
            <w:right w:w="108" w:type="dxa"/>
          </w:tblCellMar>
        </w:tblPrEx>
        <w:trPr>
          <w:trHeight w:val="482"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37199C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卫生设施</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6D3B942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洗脸池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82DBE9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250元/个</w:t>
            </w:r>
          </w:p>
        </w:tc>
        <w:tc>
          <w:tcPr>
            <w:tcW w:w="2873" w:type="dxa"/>
            <w:vMerge w:val="restart"/>
            <w:tcBorders>
              <w:top w:val="single" w:color="000000" w:sz="4" w:space="0"/>
              <w:left w:val="single" w:color="000000" w:sz="4" w:space="0"/>
              <w:right w:val="single" w:color="000000" w:sz="4" w:space="0"/>
            </w:tcBorders>
            <w:noWrap w:val="0"/>
            <w:vAlign w:val="center"/>
          </w:tcPr>
          <w:p w14:paraId="799928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10D05F2">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BF5BE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F56DF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洗漱柜       （含洗脸池）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5C11D3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700元/个</w:t>
            </w:r>
          </w:p>
        </w:tc>
        <w:tc>
          <w:tcPr>
            <w:tcW w:w="2873" w:type="dxa"/>
            <w:vMerge w:val="continue"/>
            <w:tcBorders>
              <w:left w:val="single" w:color="000000" w:sz="4" w:space="0"/>
              <w:right w:val="single" w:color="000000" w:sz="4" w:space="0"/>
            </w:tcBorders>
            <w:noWrap w:val="0"/>
            <w:vAlign w:val="center"/>
          </w:tcPr>
          <w:p w14:paraId="79E0AD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B3BDF4F">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B541FE">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704042C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浴缸</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6EDEB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1000元/个</w:t>
            </w:r>
          </w:p>
        </w:tc>
        <w:tc>
          <w:tcPr>
            <w:tcW w:w="2873" w:type="dxa"/>
            <w:vMerge w:val="continue"/>
            <w:tcBorders>
              <w:left w:val="single" w:color="000000" w:sz="4" w:space="0"/>
              <w:right w:val="single" w:color="000000" w:sz="4" w:space="0"/>
            </w:tcBorders>
            <w:noWrap w:val="0"/>
            <w:vAlign w:val="center"/>
          </w:tcPr>
          <w:p w14:paraId="512E72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2FEF578">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5DA3EB">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06295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坐便器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6A8918D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540元/个</w:t>
            </w:r>
          </w:p>
        </w:tc>
        <w:tc>
          <w:tcPr>
            <w:tcW w:w="2873" w:type="dxa"/>
            <w:vMerge w:val="continue"/>
            <w:tcBorders>
              <w:left w:val="single" w:color="000000" w:sz="4" w:space="0"/>
              <w:right w:val="single" w:color="000000" w:sz="4" w:space="0"/>
            </w:tcBorders>
            <w:noWrap w:val="0"/>
            <w:vAlign w:val="center"/>
          </w:tcPr>
          <w:p w14:paraId="2ACC1F2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B5A9E79">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1F51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4480B6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蹲便器</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6F2A7FA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270元/个</w:t>
            </w:r>
          </w:p>
        </w:tc>
        <w:tc>
          <w:tcPr>
            <w:tcW w:w="2873" w:type="dxa"/>
            <w:vMerge w:val="continue"/>
            <w:tcBorders>
              <w:left w:val="single" w:color="000000" w:sz="4" w:space="0"/>
              <w:right w:val="single" w:color="000000" w:sz="4" w:space="0"/>
            </w:tcBorders>
            <w:noWrap w:val="0"/>
            <w:vAlign w:val="center"/>
          </w:tcPr>
          <w:p w14:paraId="2FB3C4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D78DB68">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A52EF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5D11C7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小便池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84971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220元/个</w:t>
            </w:r>
          </w:p>
        </w:tc>
        <w:tc>
          <w:tcPr>
            <w:tcW w:w="2873" w:type="dxa"/>
            <w:vMerge w:val="continue"/>
            <w:tcBorders>
              <w:left w:val="single" w:color="000000" w:sz="4" w:space="0"/>
              <w:right w:val="single" w:color="000000" w:sz="4" w:space="0"/>
            </w:tcBorders>
            <w:noWrap w:val="0"/>
            <w:vAlign w:val="center"/>
          </w:tcPr>
          <w:p w14:paraId="31367F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4B396B4A">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9A9EF">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50432FA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化粪池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6E272B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260元/立方米</w:t>
            </w:r>
          </w:p>
        </w:tc>
        <w:tc>
          <w:tcPr>
            <w:tcW w:w="2873" w:type="dxa"/>
            <w:vMerge w:val="continue"/>
            <w:tcBorders>
              <w:left w:val="single" w:color="000000" w:sz="4" w:space="0"/>
              <w:bottom w:val="single" w:color="auto" w:sz="4" w:space="0"/>
              <w:right w:val="single" w:color="000000" w:sz="4" w:space="0"/>
            </w:tcBorders>
            <w:noWrap w:val="0"/>
            <w:vAlign w:val="center"/>
          </w:tcPr>
          <w:p w14:paraId="096E99B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CBA7406">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A743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16D1EE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粪缸</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1130E8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500元/个</w:t>
            </w:r>
          </w:p>
        </w:tc>
        <w:tc>
          <w:tcPr>
            <w:tcW w:w="2873" w:type="dxa"/>
            <w:vMerge w:val="continue"/>
            <w:tcBorders>
              <w:top w:val="single" w:color="auto" w:sz="4" w:space="0"/>
              <w:left w:val="single" w:color="000000" w:sz="4" w:space="0"/>
              <w:bottom w:val="single" w:color="auto" w:sz="4" w:space="0"/>
              <w:right w:val="single" w:color="000000" w:sz="4" w:space="0"/>
            </w:tcBorders>
            <w:noWrap w:val="0"/>
            <w:vAlign w:val="center"/>
          </w:tcPr>
          <w:p w14:paraId="11BD5E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205F66AC">
        <w:tblPrEx>
          <w:tblCellMar>
            <w:top w:w="0" w:type="dxa"/>
            <w:left w:w="108" w:type="dxa"/>
            <w:bottom w:w="0" w:type="dxa"/>
            <w:right w:w="108" w:type="dxa"/>
          </w:tblCellMar>
        </w:tblPrEx>
        <w:trPr>
          <w:trHeight w:val="482" w:hRule="atLeast"/>
          <w:jc w:val="center"/>
        </w:trPr>
        <w:tc>
          <w:tcPr>
            <w:tcW w:w="8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9691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其他</w:t>
            </w: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8D7763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水池、煤池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55D7A8F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80元/个</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33E1B9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36F09072">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2254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vMerge w:val="restart"/>
            <w:tcBorders>
              <w:top w:val="single" w:color="000000" w:sz="4" w:space="0"/>
              <w:left w:val="single" w:color="000000" w:sz="4" w:space="0"/>
              <w:right w:val="single" w:color="000000" w:sz="4" w:space="0"/>
            </w:tcBorders>
            <w:noWrap w:val="0"/>
            <w:vAlign w:val="center"/>
          </w:tcPr>
          <w:p w14:paraId="0E84ECF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水井</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370F78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800元/口</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57565F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压水井</w:t>
            </w:r>
          </w:p>
        </w:tc>
      </w:tr>
      <w:tr w14:paraId="65679FBE">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60A49">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vMerge w:val="continue"/>
            <w:tcBorders>
              <w:left w:val="single" w:color="000000" w:sz="4" w:space="0"/>
              <w:right w:val="single" w:color="000000" w:sz="4" w:space="0"/>
            </w:tcBorders>
            <w:noWrap w:val="0"/>
            <w:vAlign w:val="center"/>
          </w:tcPr>
          <w:p w14:paraId="0E978CF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053DAFC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1500元/口</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33554E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深度不满10米</w:t>
            </w:r>
          </w:p>
        </w:tc>
      </w:tr>
      <w:tr w14:paraId="02AFDE75">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C5B52">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vMerge w:val="continue"/>
            <w:tcBorders>
              <w:left w:val="single" w:color="000000" w:sz="4" w:space="0"/>
              <w:bottom w:val="single" w:color="000000" w:sz="4" w:space="0"/>
              <w:right w:val="single" w:color="000000" w:sz="4" w:space="0"/>
            </w:tcBorders>
            <w:noWrap w:val="0"/>
            <w:vAlign w:val="center"/>
          </w:tcPr>
          <w:p w14:paraId="53E83E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52BBD1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2600元/口</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282557B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深度10米以上</w:t>
            </w:r>
          </w:p>
        </w:tc>
      </w:tr>
      <w:tr w14:paraId="367C7BFE">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F592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39A2BD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消防池、浴池</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3AA25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240元/立方米</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504697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92BD98E">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B4E93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tcBorders>
              <w:top w:val="single" w:color="000000" w:sz="4" w:space="0"/>
              <w:left w:val="single" w:color="000000" w:sz="4" w:space="0"/>
              <w:bottom w:val="single" w:color="000000" w:sz="4" w:space="0"/>
              <w:right w:val="single" w:color="000000" w:sz="4" w:space="0"/>
            </w:tcBorders>
            <w:noWrap w:val="0"/>
            <w:vAlign w:val="center"/>
          </w:tcPr>
          <w:p w14:paraId="6D49C3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雨蓬、雨罩</w:t>
            </w:r>
          </w:p>
        </w:tc>
        <w:tc>
          <w:tcPr>
            <w:tcW w:w="3789" w:type="dxa"/>
            <w:tcBorders>
              <w:top w:val="single" w:color="000000" w:sz="4" w:space="0"/>
              <w:left w:val="single" w:color="000000" w:sz="4" w:space="0"/>
              <w:bottom w:val="single" w:color="000000" w:sz="4" w:space="0"/>
              <w:right w:val="single" w:color="000000" w:sz="4" w:space="0"/>
            </w:tcBorders>
            <w:noWrap w:val="0"/>
            <w:vAlign w:val="center"/>
          </w:tcPr>
          <w:p w14:paraId="4DDF8F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60元/平方米</w:t>
            </w:r>
          </w:p>
        </w:tc>
        <w:tc>
          <w:tcPr>
            <w:tcW w:w="2873" w:type="dxa"/>
            <w:tcBorders>
              <w:top w:val="single" w:color="000000" w:sz="4" w:space="0"/>
              <w:left w:val="single" w:color="000000" w:sz="4" w:space="0"/>
              <w:bottom w:val="single" w:color="000000" w:sz="4" w:space="0"/>
              <w:right w:val="single" w:color="000000" w:sz="4" w:space="0"/>
            </w:tcBorders>
            <w:noWrap w:val="0"/>
            <w:vAlign w:val="center"/>
          </w:tcPr>
          <w:p w14:paraId="0A2E8F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711EE59">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0CAAC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vMerge w:val="restart"/>
            <w:tcBorders>
              <w:top w:val="single" w:color="000000" w:sz="4" w:space="0"/>
              <w:left w:val="single" w:color="000000" w:sz="4" w:space="0"/>
              <w:bottom w:val="single" w:color="000000" w:sz="4" w:space="0"/>
              <w:right w:val="single" w:color="000000" w:sz="4" w:space="0"/>
            </w:tcBorders>
            <w:noWrap w:val="0"/>
            <w:vAlign w:val="center"/>
          </w:tcPr>
          <w:p w14:paraId="25A5B9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kern w:val="0"/>
                <w:sz w:val="28"/>
                <w:szCs w:val="28"/>
                <w:lang w:bidi="ar"/>
              </w:rPr>
              <w:t>屋面隔热层（自建）</w:t>
            </w:r>
          </w:p>
        </w:tc>
        <w:tc>
          <w:tcPr>
            <w:tcW w:w="3789" w:type="dxa"/>
            <w:tcBorders>
              <w:top w:val="single" w:color="000000" w:sz="4" w:space="0"/>
              <w:left w:val="single" w:color="000000" w:sz="4" w:space="0"/>
              <w:bottom w:val="single" w:color="auto" w:sz="4" w:space="0"/>
              <w:right w:val="single" w:color="000000" w:sz="4" w:space="0"/>
            </w:tcBorders>
            <w:noWrap w:val="0"/>
            <w:vAlign w:val="center"/>
          </w:tcPr>
          <w:p w14:paraId="41CF00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70元/平方米</w:t>
            </w:r>
          </w:p>
        </w:tc>
        <w:tc>
          <w:tcPr>
            <w:tcW w:w="2873" w:type="dxa"/>
            <w:tcBorders>
              <w:top w:val="single" w:color="000000" w:sz="4" w:space="0"/>
              <w:left w:val="single" w:color="000000" w:sz="4" w:space="0"/>
              <w:bottom w:val="single" w:color="auto" w:sz="4" w:space="0"/>
              <w:right w:val="single" w:color="000000" w:sz="4" w:space="0"/>
            </w:tcBorders>
            <w:noWrap w:val="0"/>
            <w:vAlign w:val="center"/>
          </w:tcPr>
          <w:p w14:paraId="3CF3AB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简易</w:t>
            </w:r>
          </w:p>
        </w:tc>
      </w:tr>
      <w:tr w14:paraId="5507454A">
        <w:tblPrEx>
          <w:tblCellMar>
            <w:top w:w="0" w:type="dxa"/>
            <w:left w:w="108" w:type="dxa"/>
            <w:bottom w:w="0" w:type="dxa"/>
            <w:right w:w="108" w:type="dxa"/>
          </w:tblCellMar>
        </w:tblPrEx>
        <w:trPr>
          <w:trHeight w:val="482" w:hRule="atLeast"/>
          <w:jc w:val="center"/>
        </w:trPr>
        <w:tc>
          <w:tcPr>
            <w:tcW w:w="8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A6E92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046" w:type="dxa"/>
            <w:vMerge w:val="continue"/>
            <w:tcBorders>
              <w:top w:val="single" w:color="000000" w:sz="4" w:space="0"/>
              <w:left w:val="single" w:color="000000" w:sz="4" w:space="0"/>
              <w:bottom w:val="single" w:color="000000" w:sz="4" w:space="0"/>
              <w:right w:val="single" w:color="auto" w:sz="4" w:space="0"/>
            </w:tcBorders>
            <w:noWrap w:val="0"/>
            <w:vAlign w:val="center"/>
          </w:tcPr>
          <w:p w14:paraId="79017D2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3789" w:type="dxa"/>
            <w:tcBorders>
              <w:top w:val="single" w:color="auto" w:sz="4" w:space="0"/>
              <w:left w:val="single" w:color="auto" w:sz="4" w:space="0"/>
              <w:bottom w:val="single" w:color="auto" w:sz="4" w:space="0"/>
              <w:right w:val="single" w:color="auto" w:sz="4" w:space="0"/>
            </w:tcBorders>
            <w:noWrap w:val="0"/>
            <w:vAlign w:val="center"/>
          </w:tcPr>
          <w:p w14:paraId="3ED297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150元/平方米</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44C780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bl>
    <w:p w14:paraId="2F721DC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注：1.未列入的附属设施可参照相近设施给予补偿，或者根据其重置价格结合成新给予补偿。</w:t>
      </w:r>
    </w:p>
    <w:p w14:paraId="78C03448">
      <w:pPr>
        <w:keepNext w:val="0"/>
        <w:keepLines w:val="0"/>
        <w:pageBreakBefore w:val="0"/>
        <w:widowControl w:val="0"/>
        <w:numPr>
          <w:ilvl w:val="0"/>
          <w:numId w:val="1"/>
        </w:numPr>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涉及供电设施或各种管、杆、线迁移的，应由相应资质单位评估后，由征收人根据评估结果确定补偿金额。</w:t>
      </w:r>
    </w:p>
    <w:p w14:paraId="65B7E492">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08ADA74F">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2A44B4BB">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08C13689">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0EBF7414">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5F22D41D">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35C23D90">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374130ED">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547F532D">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0802901C">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7B7D87C2">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3F3BEE63">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27398D89">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748DC037">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692990FF">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附件1-2</w:t>
      </w:r>
    </w:p>
    <w:p w14:paraId="1D86F03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16728F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室内外装饰装修补偿</w:t>
      </w:r>
    </w:p>
    <w:p w14:paraId="568328CB">
      <w:pPr>
        <w:spacing w:line="400" w:lineRule="exact"/>
        <w:rPr>
          <w:rFonts w:hint="default" w:ascii="Times New Roman" w:hAnsi="Times New Roman" w:cs="Times New Roman"/>
          <w:sz w:val="24"/>
        </w:rPr>
      </w:pPr>
    </w:p>
    <w:tbl>
      <w:tblPr>
        <w:tblStyle w:val="8"/>
        <w:tblW w:w="9239" w:type="dxa"/>
        <w:jc w:val="center"/>
        <w:tblLayout w:type="fixed"/>
        <w:tblCellMar>
          <w:top w:w="0" w:type="dxa"/>
          <w:left w:w="108" w:type="dxa"/>
          <w:bottom w:w="0" w:type="dxa"/>
          <w:right w:w="108" w:type="dxa"/>
        </w:tblCellMar>
      </w:tblPr>
      <w:tblGrid>
        <w:gridCol w:w="1160"/>
        <w:gridCol w:w="2913"/>
        <w:gridCol w:w="2640"/>
        <w:gridCol w:w="2526"/>
      </w:tblGrid>
      <w:tr w14:paraId="20F4DA7F">
        <w:tblPrEx>
          <w:tblCellMar>
            <w:top w:w="0" w:type="dxa"/>
            <w:left w:w="108" w:type="dxa"/>
            <w:bottom w:w="0" w:type="dxa"/>
            <w:right w:w="108" w:type="dxa"/>
          </w:tblCellMar>
        </w:tblPrEx>
        <w:trPr>
          <w:trHeight w:val="601" w:hRule="exact"/>
          <w:tblHeader/>
          <w:jc w:val="center"/>
        </w:trPr>
        <w:tc>
          <w:tcPr>
            <w:tcW w:w="4073" w:type="dxa"/>
            <w:gridSpan w:val="2"/>
            <w:tcBorders>
              <w:top w:val="single" w:color="000000" w:sz="4" w:space="0"/>
              <w:left w:val="single" w:color="000000" w:sz="4" w:space="0"/>
              <w:bottom w:val="single" w:color="000000" w:sz="4" w:space="0"/>
              <w:right w:val="single" w:color="auto" w:sz="4" w:space="0"/>
            </w:tcBorders>
            <w:noWrap w:val="0"/>
            <w:vAlign w:val="center"/>
          </w:tcPr>
          <w:p w14:paraId="79CB45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kern w:val="0"/>
                <w:sz w:val="28"/>
                <w:szCs w:val="28"/>
                <w:lang w:bidi="ar"/>
              </w:rPr>
            </w:pPr>
            <w:r>
              <w:rPr>
                <w:rFonts w:hint="default" w:ascii="Times New Roman" w:hAnsi="Times New Roman" w:eastAsia="方正黑体_GBK" w:cs="Times New Roman"/>
                <w:kern w:val="0"/>
                <w:sz w:val="28"/>
                <w:szCs w:val="28"/>
                <w:lang w:bidi="ar"/>
              </w:rPr>
              <w:t>名称</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1803AA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kern w:val="0"/>
                <w:sz w:val="28"/>
                <w:szCs w:val="28"/>
                <w:lang w:bidi="ar"/>
              </w:rPr>
            </w:pPr>
            <w:r>
              <w:rPr>
                <w:rFonts w:hint="default" w:ascii="Times New Roman" w:hAnsi="Times New Roman" w:eastAsia="方正黑体_GBK" w:cs="Times New Roman"/>
                <w:kern w:val="0"/>
                <w:sz w:val="28"/>
                <w:szCs w:val="28"/>
                <w:lang w:bidi="ar"/>
              </w:rPr>
              <w:t>补偿金额</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50A75A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kern w:val="0"/>
                <w:sz w:val="28"/>
                <w:szCs w:val="28"/>
                <w:lang w:bidi="ar"/>
              </w:rPr>
            </w:pPr>
            <w:r>
              <w:rPr>
                <w:rFonts w:hint="default" w:ascii="Times New Roman" w:hAnsi="Times New Roman" w:eastAsia="方正黑体_GBK" w:cs="Times New Roman"/>
                <w:kern w:val="0"/>
                <w:sz w:val="28"/>
                <w:szCs w:val="28"/>
                <w:lang w:bidi="ar"/>
              </w:rPr>
              <w:t>备注</w:t>
            </w:r>
          </w:p>
        </w:tc>
      </w:tr>
      <w:tr w14:paraId="14DCCA15">
        <w:tblPrEx>
          <w:tblCellMar>
            <w:top w:w="0" w:type="dxa"/>
            <w:left w:w="108" w:type="dxa"/>
            <w:bottom w:w="0" w:type="dxa"/>
            <w:right w:w="108" w:type="dxa"/>
          </w:tblCellMar>
        </w:tblPrEx>
        <w:trPr>
          <w:trHeight w:val="601" w:hRule="exact"/>
          <w:jc w:val="center"/>
        </w:trPr>
        <w:tc>
          <w:tcPr>
            <w:tcW w:w="1160" w:type="dxa"/>
            <w:vMerge w:val="restart"/>
            <w:tcBorders>
              <w:top w:val="single" w:color="000000" w:sz="4" w:space="0"/>
              <w:left w:val="single" w:color="000000" w:sz="4" w:space="0"/>
              <w:bottom w:val="single" w:color="000000" w:sz="4" w:space="0"/>
              <w:right w:val="single" w:color="000000" w:sz="4" w:space="0"/>
            </w:tcBorders>
            <w:noWrap w:val="0"/>
            <w:vAlign w:val="center"/>
          </w:tcPr>
          <w:p w14:paraId="19D2F2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吊顶</w:t>
            </w: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1E9EA7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墙纸天棚</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6AC795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52元/平方米</w:t>
            </w:r>
          </w:p>
        </w:tc>
        <w:tc>
          <w:tcPr>
            <w:tcW w:w="2526" w:type="dxa"/>
            <w:vMerge w:val="restart"/>
            <w:tcBorders>
              <w:top w:val="single" w:color="auto" w:sz="4" w:space="0"/>
              <w:left w:val="single" w:color="auto" w:sz="4" w:space="0"/>
              <w:right w:val="single" w:color="auto" w:sz="4" w:space="0"/>
            </w:tcBorders>
            <w:noWrap w:val="0"/>
            <w:vAlign w:val="center"/>
          </w:tcPr>
          <w:p w14:paraId="08607B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6A061CC">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489F1F">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79A90C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纤板、灰板条、扣板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1B97BA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45元/平方米</w:t>
            </w:r>
          </w:p>
        </w:tc>
        <w:tc>
          <w:tcPr>
            <w:tcW w:w="2526" w:type="dxa"/>
            <w:vMerge w:val="continue"/>
            <w:tcBorders>
              <w:left w:val="single" w:color="auto" w:sz="4" w:space="0"/>
              <w:right w:val="single" w:color="auto" w:sz="4" w:space="0"/>
            </w:tcBorders>
            <w:noWrap w:val="0"/>
            <w:vAlign w:val="center"/>
          </w:tcPr>
          <w:p w14:paraId="265A65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B69D7AC">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BD27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0BBCEB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铝塑板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045BFC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150元/平方米</w:t>
            </w:r>
          </w:p>
        </w:tc>
        <w:tc>
          <w:tcPr>
            <w:tcW w:w="2526" w:type="dxa"/>
            <w:vMerge w:val="continue"/>
            <w:tcBorders>
              <w:left w:val="single" w:color="auto" w:sz="4" w:space="0"/>
              <w:right w:val="single" w:color="auto" w:sz="4" w:space="0"/>
            </w:tcBorders>
            <w:noWrap w:val="0"/>
            <w:vAlign w:val="center"/>
          </w:tcPr>
          <w:p w14:paraId="4452A24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FA93D82">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F79ED9">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19A595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铝板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3C09E5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96元/平方米</w:t>
            </w:r>
          </w:p>
        </w:tc>
        <w:tc>
          <w:tcPr>
            <w:tcW w:w="2526" w:type="dxa"/>
            <w:vMerge w:val="continue"/>
            <w:tcBorders>
              <w:left w:val="single" w:color="auto" w:sz="4" w:space="0"/>
              <w:right w:val="single" w:color="auto" w:sz="4" w:space="0"/>
            </w:tcBorders>
            <w:noWrap w:val="0"/>
            <w:vAlign w:val="center"/>
          </w:tcPr>
          <w:p w14:paraId="1C598F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C4568F7">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A79B7">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5BB91C2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三合板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0DD251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75元/平方米</w:t>
            </w:r>
          </w:p>
        </w:tc>
        <w:tc>
          <w:tcPr>
            <w:tcW w:w="2526" w:type="dxa"/>
            <w:vMerge w:val="continue"/>
            <w:tcBorders>
              <w:left w:val="single" w:color="auto" w:sz="4" w:space="0"/>
              <w:right w:val="single" w:color="auto" w:sz="4" w:space="0"/>
            </w:tcBorders>
            <w:noWrap w:val="0"/>
            <w:vAlign w:val="center"/>
          </w:tcPr>
          <w:p w14:paraId="43A2E2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5539CBF">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3EA49D">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436FAB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石膏板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49FF6A1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95元/平方米</w:t>
            </w:r>
          </w:p>
        </w:tc>
        <w:tc>
          <w:tcPr>
            <w:tcW w:w="2526" w:type="dxa"/>
            <w:vMerge w:val="continue"/>
            <w:tcBorders>
              <w:left w:val="single" w:color="auto" w:sz="4" w:space="0"/>
              <w:right w:val="single" w:color="auto" w:sz="4" w:space="0"/>
            </w:tcBorders>
            <w:noWrap w:val="0"/>
            <w:vAlign w:val="center"/>
          </w:tcPr>
          <w:p w14:paraId="3C1214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25AF15D">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F418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6BCEEFF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胶合板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1F2366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38元/平方米</w:t>
            </w:r>
          </w:p>
        </w:tc>
        <w:tc>
          <w:tcPr>
            <w:tcW w:w="2526" w:type="dxa"/>
            <w:vMerge w:val="continue"/>
            <w:tcBorders>
              <w:left w:val="single" w:color="auto" w:sz="4" w:space="0"/>
              <w:bottom w:val="single" w:color="auto" w:sz="4" w:space="0"/>
              <w:right w:val="single" w:color="auto" w:sz="4" w:space="0"/>
            </w:tcBorders>
            <w:noWrap w:val="0"/>
            <w:vAlign w:val="center"/>
          </w:tcPr>
          <w:p w14:paraId="001B78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BF94ADC">
        <w:tblPrEx>
          <w:tblCellMar>
            <w:top w:w="0" w:type="dxa"/>
            <w:left w:w="108" w:type="dxa"/>
            <w:bottom w:w="0" w:type="dxa"/>
            <w:right w:w="108" w:type="dxa"/>
          </w:tblCellMar>
        </w:tblPrEx>
        <w:trPr>
          <w:trHeight w:val="601" w:hRule="exact"/>
          <w:jc w:val="center"/>
        </w:trPr>
        <w:tc>
          <w:tcPr>
            <w:tcW w:w="11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64B2F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墙面</w:t>
            </w: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3174023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瓷砖</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5F71FF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85元/平方米</w:t>
            </w:r>
          </w:p>
        </w:tc>
        <w:tc>
          <w:tcPr>
            <w:tcW w:w="2526" w:type="dxa"/>
            <w:vMerge w:val="restart"/>
            <w:tcBorders>
              <w:top w:val="single" w:color="auto" w:sz="4" w:space="0"/>
              <w:left w:val="single" w:color="auto" w:sz="4" w:space="0"/>
              <w:right w:val="single" w:color="auto" w:sz="4" w:space="0"/>
            </w:tcBorders>
            <w:noWrap w:val="0"/>
            <w:vAlign w:val="center"/>
          </w:tcPr>
          <w:p w14:paraId="55B8BC5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不含隔墙墙体</w:t>
            </w:r>
          </w:p>
        </w:tc>
      </w:tr>
      <w:tr w14:paraId="15D28F07">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46974">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5E106B5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铝塑板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29B046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100元/平方米</w:t>
            </w:r>
          </w:p>
        </w:tc>
        <w:tc>
          <w:tcPr>
            <w:tcW w:w="2526" w:type="dxa"/>
            <w:vMerge w:val="continue"/>
            <w:tcBorders>
              <w:left w:val="single" w:color="auto" w:sz="4" w:space="0"/>
              <w:right w:val="single" w:color="auto" w:sz="4" w:space="0"/>
            </w:tcBorders>
            <w:noWrap w:val="0"/>
            <w:vAlign w:val="center"/>
          </w:tcPr>
          <w:p w14:paraId="6ECFDE2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DA94282">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1321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06DDD4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墙布</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C2991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60元/平方米</w:t>
            </w:r>
          </w:p>
        </w:tc>
        <w:tc>
          <w:tcPr>
            <w:tcW w:w="2526" w:type="dxa"/>
            <w:vMerge w:val="continue"/>
            <w:tcBorders>
              <w:left w:val="single" w:color="auto" w:sz="4" w:space="0"/>
              <w:right w:val="single" w:color="auto" w:sz="4" w:space="0"/>
            </w:tcBorders>
            <w:noWrap w:val="0"/>
            <w:vAlign w:val="center"/>
          </w:tcPr>
          <w:p w14:paraId="0A1B43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6285654">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6EC8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472A86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墙纸</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51E368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50元/平方米</w:t>
            </w:r>
          </w:p>
        </w:tc>
        <w:tc>
          <w:tcPr>
            <w:tcW w:w="2526" w:type="dxa"/>
            <w:vMerge w:val="continue"/>
            <w:tcBorders>
              <w:left w:val="single" w:color="auto" w:sz="4" w:space="0"/>
              <w:right w:val="single" w:color="auto" w:sz="4" w:space="0"/>
            </w:tcBorders>
            <w:noWrap w:val="0"/>
            <w:vAlign w:val="center"/>
          </w:tcPr>
          <w:p w14:paraId="349D95D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476A1783">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2F037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5A468E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胶合板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28DC15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60元/平方米</w:t>
            </w:r>
          </w:p>
        </w:tc>
        <w:tc>
          <w:tcPr>
            <w:tcW w:w="2526" w:type="dxa"/>
            <w:vMerge w:val="continue"/>
            <w:tcBorders>
              <w:left w:val="single" w:color="auto" w:sz="4" w:space="0"/>
              <w:right w:val="single" w:color="auto" w:sz="4" w:space="0"/>
            </w:tcBorders>
            <w:noWrap w:val="0"/>
            <w:vAlign w:val="center"/>
          </w:tcPr>
          <w:p w14:paraId="44E566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6CC48D99">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1810E">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7BB0366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乳胶漆</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33C0A0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30元/平方米</w:t>
            </w:r>
          </w:p>
        </w:tc>
        <w:tc>
          <w:tcPr>
            <w:tcW w:w="2526" w:type="dxa"/>
            <w:vMerge w:val="continue"/>
            <w:tcBorders>
              <w:left w:val="single" w:color="auto" w:sz="4" w:space="0"/>
              <w:right w:val="single" w:color="auto" w:sz="4" w:space="0"/>
            </w:tcBorders>
            <w:noWrap w:val="0"/>
            <w:vAlign w:val="center"/>
          </w:tcPr>
          <w:p w14:paraId="45DAA0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600CA20">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3DC1D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22C0D85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喷漆、喷瓷、喷塑</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39E80DB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100元/平方米</w:t>
            </w:r>
          </w:p>
        </w:tc>
        <w:tc>
          <w:tcPr>
            <w:tcW w:w="2526" w:type="dxa"/>
            <w:vMerge w:val="continue"/>
            <w:tcBorders>
              <w:left w:val="single" w:color="auto" w:sz="4" w:space="0"/>
              <w:bottom w:val="single" w:color="auto" w:sz="4" w:space="0"/>
              <w:right w:val="single" w:color="auto" w:sz="4" w:space="0"/>
            </w:tcBorders>
            <w:noWrap w:val="0"/>
            <w:vAlign w:val="center"/>
          </w:tcPr>
          <w:p w14:paraId="45B13E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464A4953">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8F2C3">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09D11F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简易壁柜</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452BDE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320元/平方米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094E57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不可移动</w:t>
            </w:r>
          </w:p>
        </w:tc>
      </w:tr>
      <w:tr w14:paraId="67400759">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2C37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vMerge w:val="restart"/>
            <w:tcBorders>
              <w:top w:val="single" w:color="000000" w:sz="4" w:space="0"/>
              <w:left w:val="single" w:color="000000" w:sz="4" w:space="0"/>
              <w:bottom w:val="single" w:color="000000" w:sz="4" w:space="0"/>
              <w:right w:val="single" w:color="auto" w:sz="4" w:space="0"/>
            </w:tcBorders>
            <w:noWrap w:val="0"/>
            <w:vAlign w:val="center"/>
          </w:tcPr>
          <w:p w14:paraId="55C42F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组合式壁柜</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3BB200F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500元/平方米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03F3AF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8"/>
                <w:szCs w:val="28"/>
                <w:lang w:bidi="ar"/>
              </w:rPr>
            </w:pPr>
            <w:r>
              <w:rPr>
                <w:rFonts w:hint="default" w:ascii="Times New Roman" w:hAnsi="Times New Roman" w:eastAsia="方正仿宋_GBK" w:cs="Times New Roman"/>
                <w:kern w:val="0"/>
                <w:sz w:val="28"/>
                <w:szCs w:val="28"/>
                <w:lang w:bidi="ar"/>
              </w:rPr>
              <w:t>壁柜深＜35厘米</w:t>
            </w:r>
          </w:p>
          <w:p w14:paraId="08CF99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（不可移动）</w:t>
            </w:r>
          </w:p>
        </w:tc>
      </w:tr>
      <w:tr w14:paraId="74782765">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A478F">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vMerge w:val="continue"/>
            <w:tcBorders>
              <w:top w:val="single" w:color="000000" w:sz="4" w:space="0"/>
              <w:left w:val="single" w:color="000000" w:sz="4" w:space="0"/>
              <w:bottom w:val="single" w:color="000000" w:sz="4" w:space="0"/>
              <w:right w:val="single" w:color="auto" w:sz="4" w:space="0"/>
            </w:tcBorders>
            <w:noWrap w:val="0"/>
            <w:vAlign w:val="center"/>
          </w:tcPr>
          <w:p w14:paraId="32B3E289">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F7C34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800元/平方米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589CBF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8"/>
                <w:szCs w:val="28"/>
                <w:lang w:bidi="ar"/>
              </w:rPr>
            </w:pPr>
            <w:r>
              <w:rPr>
                <w:rFonts w:hint="default" w:ascii="Times New Roman" w:hAnsi="Times New Roman" w:eastAsia="方正仿宋_GBK" w:cs="Times New Roman"/>
                <w:kern w:val="0"/>
                <w:sz w:val="28"/>
                <w:szCs w:val="28"/>
                <w:lang w:bidi="ar"/>
              </w:rPr>
              <w:t>壁柜深≥35厘米</w:t>
            </w:r>
          </w:p>
          <w:p w14:paraId="77C08F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（不可移动）</w:t>
            </w:r>
          </w:p>
        </w:tc>
      </w:tr>
      <w:tr w14:paraId="655CBD47">
        <w:tblPrEx>
          <w:tblCellMar>
            <w:top w:w="0" w:type="dxa"/>
            <w:left w:w="108" w:type="dxa"/>
            <w:bottom w:w="0" w:type="dxa"/>
            <w:right w:w="108" w:type="dxa"/>
          </w:tblCellMar>
        </w:tblPrEx>
        <w:trPr>
          <w:trHeight w:val="601" w:hRule="exact"/>
          <w:jc w:val="center"/>
        </w:trPr>
        <w:tc>
          <w:tcPr>
            <w:tcW w:w="11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8FB14FF">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室内地面</w:t>
            </w: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5265F6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装配式成品实木地板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2C50BE0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290元/平方米</w:t>
            </w:r>
          </w:p>
        </w:tc>
        <w:tc>
          <w:tcPr>
            <w:tcW w:w="2526" w:type="dxa"/>
            <w:vMerge w:val="restart"/>
            <w:tcBorders>
              <w:top w:val="single" w:color="auto" w:sz="4" w:space="0"/>
              <w:left w:val="single" w:color="auto" w:sz="4" w:space="0"/>
              <w:right w:val="single" w:color="auto" w:sz="4" w:space="0"/>
            </w:tcBorders>
            <w:noWrap w:val="0"/>
            <w:vAlign w:val="center"/>
          </w:tcPr>
          <w:p w14:paraId="3C000631">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不含结构性原有木地板</w:t>
            </w:r>
          </w:p>
        </w:tc>
      </w:tr>
      <w:tr w14:paraId="44D8832F">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65B3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15C265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地板砖、其他木地板</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D0E31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120元/平方米</w:t>
            </w:r>
          </w:p>
        </w:tc>
        <w:tc>
          <w:tcPr>
            <w:tcW w:w="2526" w:type="dxa"/>
            <w:vMerge w:val="continue"/>
            <w:tcBorders>
              <w:left w:val="single" w:color="auto" w:sz="4" w:space="0"/>
              <w:bottom w:val="single" w:color="auto" w:sz="4" w:space="0"/>
              <w:right w:val="single" w:color="auto" w:sz="4" w:space="0"/>
            </w:tcBorders>
            <w:noWrap w:val="0"/>
            <w:vAlign w:val="center"/>
          </w:tcPr>
          <w:p w14:paraId="4FCBA19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0D512A1">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BFB00">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0B39E0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水磨石</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5CDEC6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73元/平方米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52244F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35EE8A68">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8F06E">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64D385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大理石</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44B25C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235元/平方米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46257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5840AA3F">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32B85">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6069F8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花岗岩</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5E47A9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160元/平方米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530305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2CF7BC3A">
        <w:tblPrEx>
          <w:tblCellMar>
            <w:top w:w="0" w:type="dxa"/>
            <w:left w:w="108" w:type="dxa"/>
            <w:bottom w:w="0" w:type="dxa"/>
            <w:right w:w="108" w:type="dxa"/>
          </w:tblCellMar>
        </w:tblPrEx>
        <w:trPr>
          <w:trHeight w:val="601" w:hRule="exact"/>
          <w:jc w:val="center"/>
        </w:trPr>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C0AD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112EED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油漆地面</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E9D24D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65元/平方米</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7593AB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7CF20397">
        <w:tblPrEx>
          <w:tblCellMar>
            <w:top w:w="0" w:type="dxa"/>
            <w:left w:w="108" w:type="dxa"/>
            <w:bottom w:w="0" w:type="dxa"/>
            <w:right w:w="108" w:type="dxa"/>
          </w:tblCellMar>
        </w:tblPrEx>
        <w:trPr>
          <w:trHeight w:val="601" w:hRule="exact"/>
          <w:jc w:val="center"/>
        </w:trPr>
        <w:tc>
          <w:tcPr>
            <w:tcW w:w="1160" w:type="dxa"/>
            <w:vMerge w:val="restart"/>
            <w:tcBorders>
              <w:top w:val="single" w:color="000000" w:sz="4" w:space="0"/>
              <w:left w:val="single" w:color="000000" w:sz="4" w:space="0"/>
              <w:right w:val="single" w:color="000000" w:sz="4" w:space="0"/>
            </w:tcBorders>
            <w:noWrap w:val="0"/>
            <w:vAlign w:val="center"/>
          </w:tcPr>
          <w:p w14:paraId="019BB3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外墙</w:t>
            </w: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07602E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外墙砖</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4553C7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100元/平方米</w:t>
            </w:r>
          </w:p>
        </w:tc>
        <w:tc>
          <w:tcPr>
            <w:tcW w:w="2526" w:type="dxa"/>
            <w:vMerge w:val="restart"/>
            <w:tcBorders>
              <w:top w:val="single" w:color="auto" w:sz="4" w:space="0"/>
              <w:left w:val="single" w:color="auto" w:sz="4" w:space="0"/>
              <w:right w:val="single" w:color="auto" w:sz="4" w:space="0"/>
            </w:tcBorders>
            <w:noWrap w:val="0"/>
            <w:vAlign w:val="center"/>
          </w:tcPr>
          <w:p w14:paraId="674122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瓷砖、文化砖，干粘石、剁斧石等补偿标准参照外墙砖</w:t>
            </w:r>
          </w:p>
        </w:tc>
      </w:tr>
      <w:tr w14:paraId="70841A6C">
        <w:tblPrEx>
          <w:tblCellMar>
            <w:top w:w="0" w:type="dxa"/>
            <w:left w:w="108" w:type="dxa"/>
            <w:bottom w:w="0" w:type="dxa"/>
            <w:right w:w="108" w:type="dxa"/>
          </w:tblCellMar>
        </w:tblPrEx>
        <w:trPr>
          <w:trHeight w:val="601" w:hRule="exact"/>
          <w:jc w:val="center"/>
        </w:trPr>
        <w:tc>
          <w:tcPr>
            <w:tcW w:w="1160" w:type="dxa"/>
            <w:vMerge w:val="continue"/>
            <w:tcBorders>
              <w:left w:val="single" w:color="000000" w:sz="4" w:space="0"/>
              <w:right w:val="single" w:color="000000" w:sz="4" w:space="0"/>
            </w:tcBorders>
            <w:noWrap w:val="0"/>
            <w:vAlign w:val="center"/>
          </w:tcPr>
          <w:p w14:paraId="1A8971A2">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2260D5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大理石</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2E2B36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235元/平方米</w:t>
            </w:r>
          </w:p>
        </w:tc>
        <w:tc>
          <w:tcPr>
            <w:tcW w:w="2526" w:type="dxa"/>
            <w:vMerge w:val="continue"/>
            <w:tcBorders>
              <w:left w:val="single" w:color="auto" w:sz="4" w:space="0"/>
              <w:right w:val="single" w:color="auto" w:sz="4" w:space="0"/>
            </w:tcBorders>
            <w:noWrap w:val="0"/>
            <w:vAlign w:val="center"/>
          </w:tcPr>
          <w:p w14:paraId="574F56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440A0113">
        <w:tblPrEx>
          <w:tblCellMar>
            <w:top w:w="0" w:type="dxa"/>
            <w:left w:w="108" w:type="dxa"/>
            <w:bottom w:w="0" w:type="dxa"/>
            <w:right w:w="108" w:type="dxa"/>
          </w:tblCellMar>
        </w:tblPrEx>
        <w:trPr>
          <w:trHeight w:val="601" w:hRule="exact"/>
          <w:jc w:val="center"/>
        </w:trPr>
        <w:tc>
          <w:tcPr>
            <w:tcW w:w="1160" w:type="dxa"/>
            <w:vMerge w:val="continue"/>
            <w:tcBorders>
              <w:left w:val="single" w:color="000000" w:sz="4" w:space="0"/>
              <w:right w:val="single" w:color="000000" w:sz="4" w:space="0"/>
            </w:tcBorders>
            <w:noWrap w:val="0"/>
            <w:vAlign w:val="center"/>
          </w:tcPr>
          <w:p w14:paraId="5EDB3F11">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4D84E9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花岗岩</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58219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180元/平方米</w:t>
            </w:r>
          </w:p>
        </w:tc>
        <w:tc>
          <w:tcPr>
            <w:tcW w:w="2526" w:type="dxa"/>
            <w:vMerge w:val="continue"/>
            <w:tcBorders>
              <w:left w:val="single" w:color="auto" w:sz="4" w:space="0"/>
              <w:right w:val="single" w:color="auto" w:sz="4" w:space="0"/>
            </w:tcBorders>
            <w:noWrap w:val="0"/>
            <w:vAlign w:val="center"/>
          </w:tcPr>
          <w:p w14:paraId="68E7D0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0ABF5EB2">
        <w:tblPrEx>
          <w:tblCellMar>
            <w:top w:w="0" w:type="dxa"/>
            <w:left w:w="108" w:type="dxa"/>
            <w:bottom w:w="0" w:type="dxa"/>
            <w:right w:w="108" w:type="dxa"/>
          </w:tblCellMar>
        </w:tblPrEx>
        <w:trPr>
          <w:trHeight w:val="601" w:hRule="exact"/>
          <w:jc w:val="center"/>
        </w:trPr>
        <w:tc>
          <w:tcPr>
            <w:tcW w:w="1160" w:type="dxa"/>
            <w:vMerge w:val="continue"/>
            <w:tcBorders>
              <w:left w:val="single" w:color="000000" w:sz="4" w:space="0"/>
              <w:right w:val="single" w:color="000000" w:sz="4" w:space="0"/>
            </w:tcBorders>
            <w:noWrap w:val="0"/>
            <w:vAlign w:val="center"/>
          </w:tcPr>
          <w:p w14:paraId="7F33774F">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56A7DB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真石漆</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52160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kern w:val="0"/>
                <w:sz w:val="28"/>
                <w:szCs w:val="28"/>
                <w:lang w:bidi="ar"/>
              </w:rPr>
              <w:t>75元/平方米</w:t>
            </w:r>
          </w:p>
        </w:tc>
        <w:tc>
          <w:tcPr>
            <w:tcW w:w="2526" w:type="dxa"/>
            <w:vMerge w:val="continue"/>
            <w:tcBorders>
              <w:left w:val="single" w:color="auto" w:sz="4" w:space="0"/>
              <w:right w:val="single" w:color="auto" w:sz="4" w:space="0"/>
            </w:tcBorders>
            <w:noWrap w:val="0"/>
            <w:vAlign w:val="center"/>
          </w:tcPr>
          <w:p w14:paraId="1171F84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r w14:paraId="167F4A3E">
        <w:tblPrEx>
          <w:tblCellMar>
            <w:top w:w="0" w:type="dxa"/>
            <w:left w:w="108" w:type="dxa"/>
            <w:bottom w:w="0" w:type="dxa"/>
            <w:right w:w="108" w:type="dxa"/>
          </w:tblCellMar>
        </w:tblPrEx>
        <w:trPr>
          <w:trHeight w:val="601" w:hRule="exact"/>
          <w:jc w:val="center"/>
        </w:trPr>
        <w:tc>
          <w:tcPr>
            <w:tcW w:w="1160" w:type="dxa"/>
            <w:vMerge w:val="continue"/>
            <w:tcBorders>
              <w:left w:val="single" w:color="000000" w:sz="4" w:space="0"/>
              <w:bottom w:val="single" w:color="000000" w:sz="4" w:space="0"/>
              <w:right w:val="single" w:color="000000" w:sz="4" w:space="0"/>
            </w:tcBorders>
            <w:noWrap w:val="0"/>
            <w:vAlign w:val="center"/>
          </w:tcPr>
          <w:p w14:paraId="73F60C76">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sz w:val="28"/>
                <w:szCs w:val="28"/>
              </w:rPr>
            </w:pPr>
          </w:p>
        </w:tc>
        <w:tc>
          <w:tcPr>
            <w:tcW w:w="2913" w:type="dxa"/>
            <w:tcBorders>
              <w:top w:val="single" w:color="000000" w:sz="4" w:space="0"/>
              <w:left w:val="single" w:color="000000" w:sz="4" w:space="0"/>
              <w:bottom w:val="single" w:color="000000" w:sz="4" w:space="0"/>
              <w:right w:val="single" w:color="auto" w:sz="4" w:space="0"/>
            </w:tcBorders>
            <w:noWrap w:val="0"/>
            <w:vAlign w:val="center"/>
          </w:tcPr>
          <w:p w14:paraId="10562C3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8"/>
                <w:szCs w:val="28"/>
                <w:lang w:bidi="ar"/>
              </w:rPr>
            </w:pPr>
            <w:r>
              <w:rPr>
                <w:rFonts w:hint="default" w:ascii="Times New Roman" w:hAnsi="Times New Roman" w:eastAsia="方正仿宋_GBK" w:cs="Times New Roman"/>
                <w:kern w:val="0"/>
                <w:sz w:val="28"/>
                <w:szCs w:val="28"/>
                <w:lang w:bidi="ar"/>
              </w:rPr>
              <w:t>水刷石</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74DDE9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kern w:val="0"/>
                <w:sz w:val="28"/>
                <w:szCs w:val="28"/>
                <w:lang w:bidi="ar"/>
              </w:rPr>
            </w:pPr>
            <w:r>
              <w:rPr>
                <w:rFonts w:hint="default" w:ascii="Times New Roman" w:hAnsi="Times New Roman" w:eastAsia="方正仿宋_GBK" w:cs="Times New Roman"/>
                <w:kern w:val="0"/>
                <w:sz w:val="28"/>
                <w:szCs w:val="28"/>
                <w:lang w:bidi="ar"/>
              </w:rPr>
              <w:t>65元/平方米</w:t>
            </w:r>
          </w:p>
        </w:tc>
        <w:tc>
          <w:tcPr>
            <w:tcW w:w="2526" w:type="dxa"/>
            <w:vMerge w:val="continue"/>
            <w:tcBorders>
              <w:left w:val="single" w:color="auto" w:sz="4" w:space="0"/>
              <w:bottom w:val="single" w:color="auto" w:sz="4" w:space="0"/>
              <w:right w:val="single" w:color="auto" w:sz="4" w:space="0"/>
            </w:tcBorders>
            <w:noWrap w:val="0"/>
            <w:vAlign w:val="center"/>
          </w:tcPr>
          <w:p w14:paraId="419E55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z w:val="28"/>
                <w:szCs w:val="28"/>
              </w:rPr>
            </w:pPr>
          </w:p>
        </w:tc>
      </w:tr>
    </w:tbl>
    <w:p w14:paraId="49DC30D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注：1.未列入的室内外装修可参照表中相近的项目给予补偿。</w:t>
      </w:r>
    </w:p>
    <w:p w14:paraId="1E78907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2.清水墙、水泥砂浆、涂料、白灰等外墙价值已在房屋重置价格中体现，不重复补偿。</w:t>
      </w:r>
    </w:p>
    <w:p w14:paraId="0DA0D22B">
      <w:pPr>
        <w:keepNext w:val="0"/>
        <w:keepLines w:val="0"/>
        <w:pageBreakBefore w:val="0"/>
        <w:widowControl w:val="0"/>
        <w:numPr>
          <w:numId w:val="0"/>
        </w:numPr>
        <w:kinsoku/>
        <w:wordWrap/>
        <w:overflowPunct w:val="0"/>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p>
    <w:p w14:paraId="1FCB8AE3">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lang w:val="en-US" w:eastAsia="zh-CN"/>
        </w:rPr>
      </w:pPr>
    </w:p>
    <w:p w14:paraId="0E31509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附件1-3</w:t>
      </w:r>
    </w:p>
    <w:p w14:paraId="2AE609E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36A2D083">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其他补助</w:t>
      </w:r>
    </w:p>
    <w:p w14:paraId="7C01960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6FA3DB4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一、临时安置费（住宅房屋）</w:t>
      </w:r>
    </w:p>
    <w:p w14:paraId="6409B04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临时安置费按被征收房屋确认的建筑面积计算。被征收房屋是被征收人家庭在本市唯一住房，且人均面积小于20平方米的，按人均面积20平方米计算临时安置费。标准为：</w:t>
      </w:r>
    </w:p>
    <w:tbl>
      <w:tblPr>
        <w:tblStyle w:val="8"/>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070"/>
        <w:gridCol w:w="2070"/>
        <w:gridCol w:w="2070"/>
      </w:tblGrid>
      <w:tr w14:paraId="4167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589" w:type="dxa"/>
            <w:noWrap w:val="0"/>
            <w:vAlign w:val="center"/>
          </w:tcPr>
          <w:p w14:paraId="258881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区  位</w:t>
            </w:r>
          </w:p>
        </w:tc>
        <w:tc>
          <w:tcPr>
            <w:tcW w:w="2070" w:type="dxa"/>
            <w:noWrap w:val="0"/>
            <w:vAlign w:val="center"/>
          </w:tcPr>
          <w:p w14:paraId="04EF4D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一  类</w:t>
            </w:r>
          </w:p>
        </w:tc>
        <w:tc>
          <w:tcPr>
            <w:tcW w:w="2070" w:type="dxa"/>
            <w:noWrap w:val="0"/>
            <w:vAlign w:val="center"/>
          </w:tcPr>
          <w:p w14:paraId="55B51C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二类、三类</w:t>
            </w:r>
          </w:p>
        </w:tc>
        <w:tc>
          <w:tcPr>
            <w:tcW w:w="2070" w:type="dxa"/>
            <w:noWrap w:val="0"/>
            <w:vAlign w:val="center"/>
          </w:tcPr>
          <w:p w14:paraId="307D28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黑体_GBK" w:cs="Times New Roman"/>
                <w:sz w:val="28"/>
                <w:szCs w:val="28"/>
              </w:rPr>
            </w:pPr>
            <w:r>
              <w:rPr>
                <w:rFonts w:hint="default" w:ascii="Times New Roman" w:hAnsi="Times New Roman" w:eastAsia="方正黑体_GBK" w:cs="Times New Roman"/>
                <w:sz w:val="28"/>
                <w:szCs w:val="28"/>
              </w:rPr>
              <w:t>四  类</w:t>
            </w:r>
          </w:p>
        </w:tc>
      </w:tr>
      <w:tr w14:paraId="1BED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2589" w:type="dxa"/>
            <w:noWrap w:val="0"/>
            <w:vAlign w:val="center"/>
          </w:tcPr>
          <w:p w14:paraId="52E555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补偿金额</w:t>
            </w:r>
          </w:p>
          <w:p w14:paraId="2E4C8D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（元/平方米·月）</w:t>
            </w:r>
          </w:p>
        </w:tc>
        <w:tc>
          <w:tcPr>
            <w:tcW w:w="2070" w:type="dxa"/>
            <w:noWrap w:val="0"/>
            <w:vAlign w:val="center"/>
          </w:tcPr>
          <w:p w14:paraId="55A1B7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20.00</w:t>
            </w:r>
          </w:p>
        </w:tc>
        <w:tc>
          <w:tcPr>
            <w:tcW w:w="2070" w:type="dxa"/>
            <w:noWrap w:val="0"/>
            <w:vAlign w:val="center"/>
          </w:tcPr>
          <w:p w14:paraId="3412DE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16.00</w:t>
            </w:r>
          </w:p>
        </w:tc>
        <w:tc>
          <w:tcPr>
            <w:tcW w:w="2070" w:type="dxa"/>
            <w:noWrap w:val="0"/>
            <w:vAlign w:val="center"/>
          </w:tcPr>
          <w:p w14:paraId="6ABDB9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12.00</w:t>
            </w:r>
          </w:p>
        </w:tc>
      </w:tr>
    </w:tbl>
    <w:p w14:paraId="051E3BA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（一）货币补偿。</w:t>
      </w:r>
    </w:p>
    <w:p w14:paraId="713F8B6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选择货币补偿的，按上述标准支付6个月临时安置费。</w:t>
      </w:r>
    </w:p>
    <w:p w14:paraId="62B4C6F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（二）提供安置房。</w:t>
      </w:r>
    </w:p>
    <w:p w14:paraId="6BCB5E3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1．选择现房安置的，按上述标准支付4个月临时安置费。</w:t>
      </w:r>
    </w:p>
    <w:p w14:paraId="70D2389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2．选择期房安置被征收人自行过渡的，过渡期36个月以内的，从搬迁之日至安置房屋交付之日按上述标准支付；过渡期36个月以外的，从逾期之日至安置房屋交付之日按上述标准增加100%支付临时安置费。</w:t>
      </w:r>
    </w:p>
    <w:p w14:paraId="400AB72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选择期房安置征收人已提供周转用房的，过渡期36个月以内的，不再支付临时安置费；过渡期36个月以外的，从逾期之日至安置房屋交付之日按上述标准支付临时安置费。</w:t>
      </w:r>
    </w:p>
    <w:p w14:paraId="7D1ADE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期房安置的，另按上述标准支付4个月临时安置费。</w:t>
      </w:r>
    </w:p>
    <w:p w14:paraId="30B9032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（三）安排宅基地建房。</w:t>
      </w:r>
    </w:p>
    <w:p w14:paraId="6B174DE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安排宅基地建房的，参照货币补偿计算临时安置费。</w:t>
      </w:r>
    </w:p>
    <w:p w14:paraId="5D7314E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二、停产停业损失费（非住宅房屋）</w:t>
      </w:r>
    </w:p>
    <w:p w14:paraId="2976148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非住宅房屋停产停业损失费按被征收房屋的合法面积计算。标准为：</w:t>
      </w:r>
    </w:p>
    <w:p w14:paraId="3D88F47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办公用房：以被征收房屋价值（含附属设施及装饰装修费用）的7‰（元/月）确定。</w:t>
      </w:r>
    </w:p>
    <w:p w14:paraId="2AAAF28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生产（含生产性办公）、仓储用房：以被征收房屋价值（含附属设施及装饰装修费用）的12‰（元/月）确定。</w:t>
      </w:r>
    </w:p>
    <w:p w14:paraId="641B159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（一）货币补偿。</w:t>
      </w:r>
    </w:p>
    <w:p w14:paraId="5178270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选择货币补偿的，按上述标准支付4个月。</w:t>
      </w:r>
    </w:p>
    <w:p w14:paraId="001BE1E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（二）提供安置房。</w:t>
      </w:r>
    </w:p>
    <w:p w14:paraId="34DCE62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1．选择现房安置的或征收人已提供周转用房的，不再支付停产停业损失费。</w:t>
      </w:r>
    </w:p>
    <w:p w14:paraId="7AEF5B1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2．选择期房安置被征收人自行过渡的，从搬迁之月至安置房屋交付之月，按上述标准支付停产停业损失费。</w:t>
      </w:r>
    </w:p>
    <w:p w14:paraId="13ED1DD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三、搬迁费</w:t>
      </w:r>
    </w:p>
    <w:p w14:paraId="6980023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搬迁费按被征收房屋的合法面积计算，标准为：15元/平方米。有重型机械设备的被征收房屋搬迁费，可按评估价格计算。</w:t>
      </w:r>
    </w:p>
    <w:p w14:paraId="0089F8F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（一）货币补偿。</w:t>
      </w:r>
    </w:p>
    <w:p w14:paraId="01530F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选择货币补偿的，按上述标准支付一次搬迁费。</w:t>
      </w:r>
    </w:p>
    <w:p w14:paraId="6A41670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（二）提供安置房。</w:t>
      </w:r>
    </w:p>
    <w:p w14:paraId="216993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1．选择现房安置的，按上述标准支付一次搬迁费。</w:t>
      </w:r>
    </w:p>
    <w:p w14:paraId="06919D3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2．选择期房安置的，按上述标准支付两次搬迁费。</w:t>
      </w:r>
    </w:p>
    <w:p w14:paraId="2F35219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（三）安排宅基地建房</w:t>
      </w:r>
    </w:p>
    <w:p w14:paraId="4449A6D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安排宅基地建房的，按上述标准支付两次搬迁费。</w:t>
      </w:r>
    </w:p>
    <w:p w14:paraId="1BF6190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四、其他相关补偿</w:t>
      </w:r>
    </w:p>
    <w:p w14:paraId="32F641B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（一）地下室、天面建筑补偿。</w:t>
      </w:r>
    </w:p>
    <w:p w14:paraId="041FACA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与被征收房屋同期建造的有围护墙体、水泥地面，有相应出入通道（楼梯、门）的地下室、半地下室及房屋天面上永久性建筑的楼梯间征收时，按被征收房屋的重置价格结合成新、楼层结合以下比例计算补偿：</w:t>
      </w:r>
    </w:p>
    <w:p w14:paraId="0D3A897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檐口高度2.5米以上按80%计算补偿金额；</w:t>
      </w:r>
    </w:p>
    <w:p w14:paraId="0B21CB9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檐口高度2.5米以下至1.8米按60%计算补偿金额；</w:t>
      </w:r>
    </w:p>
    <w:p w14:paraId="30F8503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檐口高度1.8米以下至1.5米按45%计算补偿金额；</w:t>
      </w:r>
    </w:p>
    <w:p w14:paraId="6EF62FA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檐口高度1.5米以下按35%计算补偿金额。</w:t>
      </w:r>
    </w:p>
    <w:p w14:paraId="0F6AB98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（二）架空层、阁楼补偿。</w:t>
      </w:r>
    </w:p>
    <w:p w14:paraId="4CAFE2A2">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1．架空层。</w:t>
      </w:r>
    </w:p>
    <w:p w14:paraId="51058D6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（1）依坡地、凹地建筑的房屋，其架空部分有围护结构的空间层，按下列标准计算补偿金额：</w:t>
      </w:r>
    </w:p>
    <w:p w14:paraId="01E1D4E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层高2.5米以上1150元/平方米；</w:t>
      </w:r>
    </w:p>
    <w:p w14:paraId="2128CB4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层高2.5米以下至1.8米900元/平方米；</w:t>
      </w:r>
    </w:p>
    <w:p w14:paraId="08936D8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层高1.8米以下至1.5米700元/平方米；</w:t>
      </w:r>
    </w:p>
    <w:p w14:paraId="3A0CF0B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层高1.5米以下500元/平方米。</w:t>
      </w:r>
    </w:p>
    <w:p w14:paraId="7BC0E9A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（2）依坡地、凹地等建设的房屋，其房屋的架空部分仅有结构支撑而无外围护结构的开敞空间层，按上述标准的50%计算补偿金额。</w:t>
      </w:r>
    </w:p>
    <w:p w14:paraId="5554511A">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2．阁楼。</w:t>
      </w:r>
    </w:p>
    <w:p w14:paraId="476FC14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房屋净层高不低于2.5米建造的阁楼，按下列标准计算补偿金额：</w:t>
      </w:r>
    </w:p>
    <w:p w14:paraId="7D5A90F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檐口高度2.5米以上600元/平方米；</w:t>
      </w:r>
    </w:p>
    <w:p w14:paraId="046EDB1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檐口高度2.5米以下至1.8米450元/平方米；</w:t>
      </w:r>
    </w:p>
    <w:p w14:paraId="2B1829E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檐口高度1.8米以下至1.5米300元/平方米；</w:t>
      </w:r>
    </w:p>
    <w:p w14:paraId="60CAE6D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檐口高度1.5米以下至1米180元/平方米；</w:t>
      </w:r>
    </w:p>
    <w:p w14:paraId="55D8C6B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檐口高度1米以下至0.5米80元/平方米。</w:t>
      </w:r>
    </w:p>
    <w:p w14:paraId="07D311A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（三）房屋阳台、走廊补偿。</w:t>
      </w:r>
    </w:p>
    <w:p w14:paraId="18B3D07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与被征收房屋同期建造的阳台、走廊征收时，按下列比例折算成房屋面积计算补偿： </w:t>
      </w:r>
    </w:p>
    <w:p w14:paraId="08D2051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全封闭阳台、有柱和围护结构走廊，按其外围水平投影面积的100%计算补偿；未封闭阳台、无柱和无围护结构走廊，按其外围水平投影面积的50%计算补偿。</w:t>
      </w:r>
    </w:p>
    <w:p w14:paraId="3AFDE176">
      <w:pPr>
        <w:keepNext w:val="0"/>
        <w:keepLines w:val="0"/>
        <w:pageBreakBefore w:val="0"/>
        <w:widowControl w:val="0"/>
        <w:kinsoku/>
        <w:wordWrap/>
        <w:overflowPunct w:val="0"/>
        <w:topLinePunct w:val="0"/>
        <w:autoSpaceDE/>
        <w:autoSpaceDN/>
        <w:bidi w:val="0"/>
        <w:adjustRightInd/>
        <w:snapToGrid/>
        <w:spacing w:line="590" w:lineRule="exact"/>
        <w:ind w:firstLine="1600" w:firstLineChars="500"/>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BC0A0">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C739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2EC739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651DACA3">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rPr>
      <w:t xml:space="preserve">发布     </w:t>
    </w:r>
  </w:p>
  <w:p w14:paraId="4A2D1AFC">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151FA">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94B5119">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w:t>
    </w:r>
    <w:r>
      <w:rPr>
        <w:rFonts w:hint="eastAsia" w:ascii="宋体" w:hAnsi="宋体" w:cs="宋体"/>
        <w:b/>
        <w:bCs/>
        <w:color w:val="005192"/>
        <w:sz w:val="32"/>
        <w:szCs w:val="32"/>
        <w:lang w:val="en-US" w:eastAsia="zh-CN"/>
      </w:rPr>
      <w:t>办公室</w:t>
    </w:r>
    <w:r>
      <w:rPr>
        <w:rFonts w:hint="eastAsia" w:ascii="宋体" w:hAnsi="宋体" w:eastAsia="宋体" w:cs="宋体"/>
        <w:b/>
        <w:bCs/>
        <w:color w:val="005192"/>
        <w:sz w:val="32"/>
        <w:szCs w:val="32"/>
        <w:lang w:val="en-US"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0433A4"/>
    <w:multiLevelType w:val="singleLevel"/>
    <w:tmpl w:val="3D0433A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ED6BEB"/>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90029B0"/>
    <w:rsid w:val="1DD97D69"/>
    <w:rsid w:val="1DEC284C"/>
    <w:rsid w:val="1E6523AC"/>
    <w:rsid w:val="1FFA7124"/>
    <w:rsid w:val="22440422"/>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0</Words>
  <Characters>0</Characters>
  <Lines>30</Lines>
  <Paragraphs>8</Paragraphs>
  <TotalTime>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Administrator</cp:lastModifiedBy>
  <cp:lastPrinted>2021-10-26T03:30:00Z</cp:lastPrinted>
  <dcterms:modified xsi:type="dcterms:W3CDTF">2025-05-07T01:47:07Z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eyJoZGlkIjoiY2VlZGVhYjA3MTJiMGVjNTMxZWJhZjEwMzFmYmZlZTUifQ==</vt:lpwstr>
  </property>
</Properties>
</file>